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58BD" w14:textId="34CF127F" w:rsidR="00BD052C" w:rsidRPr="000B7CDA" w:rsidRDefault="00100D64" w:rsidP="00100D64">
      <w:pPr>
        <w:pStyle w:val="Title"/>
        <w:jc w:val="center"/>
      </w:pPr>
      <w:r w:rsidRPr="00D60E83">
        <w:rPr>
          <w:b w:val="0"/>
          <w:noProof/>
          <w:szCs w:val="24"/>
          <w:lang w:eastAsia="en-GB"/>
        </w:rPr>
        <w:drawing>
          <wp:inline distT="0" distB="0" distL="0" distR="0" wp14:anchorId="51350F74" wp14:editId="70551C14">
            <wp:extent cx="4823460" cy="1002104"/>
            <wp:effectExtent l="0" t="0" r="0" b="7620"/>
            <wp:docPr id="5" name="Picture 5" descr="This image shows a logo for the Greater Nottingham Planning Partnership." title="Greater Nottingham Planning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NPP logo.jpg"/>
                    <pic:cNvPicPr/>
                  </pic:nvPicPr>
                  <pic:blipFill rotWithShape="1">
                    <a:blip r:embed="rId8" cstate="print">
                      <a:extLst>
                        <a:ext uri="{28A0092B-C50C-407E-A947-70E740481C1C}">
                          <a14:useLocalDpi xmlns:a14="http://schemas.microsoft.com/office/drawing/2010/main" val="0"/>
                        </a:ext>
                      </a:extLst>
                    </a:blip>
                    <a:srcRect t="6209"/>
                    <a:stretch/>
                  </pic:blipFill>
                  <pic:spPr bwMode="auto">
                    <a:xfrm>
                      <a:off x="0" y="0"/>
                      <a:ext cx="4823460" cy="1002104"/>
                    </a:xfrm>
                    <a:prstGeom prst="rect">
                      <a:avLst/>
                    </a:prstGeom>
                    <a:ln>
                      <a:noFill/>
                    </a:ln>
                    <a:extLst>
                      <a:ext uri="{53640926-AAD7-44D8-BBD7-CCE9431645EC}">
                        <a14:shadowObscured xmlns:a14="http://schemas.microsoft.com/office/drawing/2010/main"/>
                      </a:ext>
                    </a:extLst>
                  </pic:spPr>
                </pic:pic>
              </a:graphicData>
            </a:graphic>
          </wp:inline>
        </w:drawing>
      </w:r>
    </w:p>
    <w:p w14:paraId="2A010BD9" w14:textId="7ADFEA28" w:rsidR="00100D64" w:rsidRDefault="00100D64" w:rsidP="00100D64">
      <w:pPr>
        <w:pStyle w:val="Title"/>
      </w:pPr>
    </w:p>
    <w:p w14:paraId="05305EB9" w14:textId="7B26FB7C" w:rsidR="00100D64" w:rsidRDefault="00100D64" w:rsidP="00100D64">
      <w:pPr>
        <w:pStyle w:val="Title"/>
      </w:pPr>
    </w:p>
    <w:p w14:paraId="2BAE9F59" w14:textId="2A5B6E95" w:rsidR="00BD052C" w:rsidRDefault="00BD052C" w:rsidP="00BD052C">
      <w:pPr>
        <w:pStyle w:val="Title"/>
      </w:pPr>
      <w:r w:rsidRPr="004474F6">
        <w:t>Joint Methodology Report</w:t>
      </w:r>
      <w:r>
        <w:t xml:space="preserve"> for S</w:t>
      </w:r>
      <w:r w:rsidRPr="000B7CDA">
        <w:t xml:space="preserve">trategic </w:t>
      </w:r>
      <w:r>
        <w:t>H</w:t>
      </w:r>
      <w:r w:rsidRPr="000B7CDA">
        <w:t xml:space="preserve">ousing </w:t>
      </w:r>
      <w:r>
        <w:t>L</w:t>
      </w:r>
      <w:r w:rsidRPr="000B7CDA">
        <w:t xml:space="preserve">and </w:t>
      </w:r>
      <w:r>
        <w:t>A</w:t>
      </w:r>
      <w:r w:rsidRPr="000B7CDA">
        <w:t xml:space="preserve">vailability </w:t>
      </w:r>
      <w:r>
        <w:t>A</w:t>
      </w:r>
      <w:r w:rsidRPr="000B7CDA">
        <w:t>ssessment</w:t>
      </w:r>
      <w:r>
        <w:t>s</w:t>
      </w:r>
      <w:r w:rsidRPr="000B7CDA">
        <w:t xml:space="preserve"> </w:t>
      </w:r>
      <w:r>
        <w:t>(SHLAAs)</w:t>
      </w:r>
    </w:p>
    <w:p w14:paraId="6523DF63" w14:textId="10AE0F24" w:rsidR="00BD052C" w:rsidRDefault="00BD052C" w:rsidP="00BD052C">
      <w:pPr>
        <w:pStyle w:val="Title"/>
      </w:pPr>
    </w:p>
    <w:p w14:paraId="2C3DD2CD" w14:textId="008796B9" w:rsidR="00BD052C" w:rsidRDefault="00BD052C" w:rsidP="00BD052C">
      <w:pPr>
        <w:pStyle w:val="Title"/>
        <w:rPr>
          <w:highlight w:val="yellow"/>
        </w:rPr>
      </w:pPr>
    </w:p>
    <w:p w14:paraId="5ACCC349" w14:textId="671CF14E" w:rsidR="00BD052C" w:rsidRPr="00BD052C" w:rsidRDefault="00BD052C" w:rsidP="00BD052C">
      <w:pPr>
        <w:pStyle w:val="Title"/>
        <w:rPr>
          <w:u w:val="single"/>
        </w:rPr>
      </w:pPr>
      <w:r w:rsidRPr="00BD052C">
        <w:rPr>
          <w:u w:val="single"/>
        </w:rPr>
        <w:t>Appendix C: Supporting evidence for Gedling Borough Council</w:t>
      </w:r>
      <w:r w:rsidR="001B7A57">
        <w:rPr>
          <w:u w:val="single"/>
        </w:rPr>
        <w:t xml:space="preserve"> – 202</w:t>
      </w:r>
      <w:r w:rsidR="00733B8D">
        <w:rPr>
          <w:u w:val="single"/>
        </w:rPr>
        <w:t>3</w:t>
      </w:r>
      <w:r w:rsidR="001B7A57">
        <w:rPr>
          <w:u w:val="single"/>
        </w:rPr>
        <w:t xml:space="preserve"> </w:t>
      </w:r>
      <w:proofErr w:type="gramStart"/>
      <w:r w:rsidR="001B7A57">
        <w:rPr>
          <w:u w:val="single"/>
        </w:rPr>
        <w:t>update</w:t>
      </w:r>
      <w:proofErr w:type="gramEnd"/>
    </w:p>
    <w:p w14:paraId="7C6CA5ED" w14:textId="574E9F20" w:rsidR="00BD052C" w:rsidRDefault="00BD052C" w:rsidP="00BD052C">
      <w:pPr>
        <w:pStyle w:val="Title"/>
        <w:rPr>
          <w:highlight w:val="yellow"/>
        </w:rPr>
      </w:pPr>
    </w:p>
    <w:p w14:paraId="6F267034" w14:textId="7E3B65B0" w:rsidR="00BD052C" w:rsidRPr="009174D9" w:rsidRDefault="00BD052C" w:rsidP="00BD052C">
      <w:pPr>
        <w:pStyle w:val="Title"/>
        <w:rPr>
          <w:highlight w:val="yellow"/>
        </w:rPr>
      </w:pPr>
    </w:p>
    <w:p w14:paraId="30AB6584" w14:textId="3A8D261B" w:rsidR="00BD052C" w:rsidRDefault="00733B8D" w:rsidP="00BD052C">
      <w:pPr>
        <w:pStyle w:val="Title"/>
      </w:pPr>
      <w:proofErr w:type="gramStart"/>
      <w:r>
        <w:t xml:space="preserve">October </w:t>
      </w:r>
      <w:r w:rsidR="00611023">
        <w:t xml:space="preserve"> 202</w:t>
      </w:r>
      <w:r>
        <w:t>3</w:t>
      </w:r>
      <w:proofErr w:type="gramEnd"/>
    </w:p>
    <w:p w14:paraId="3A623EB6" w14:textId="0143C218" w:rsidR="00100D64" w:rsidRDefault="00100D64" w:rsidP="00100D64">
      <w:pPr>
        <w:pStyle w:val="Title"/>
      </w:pPr>
    </w:p>
    <w:p w14:paraId="660CAA13" w14:textId="1AF7DD65" w:rsidR="00BD052C" w:rsidRDefault="00BD052C" w:rsidP="00E30484">
      <w:pPr>
        <w:rPr>
          <w:b/>
          <w:szCs w:val="24"/>
          <w:u w:val="single"/>
        </w:rPr>
      </w:pPr>
      <w:r>
        <w:rPr>
          <w:b/>
          <w:szCs w:val="24"/>
          <w:u w:val="single"/>
        </w:rPr>
        <w:br w:type="page"/>
      </w:r>
    </w:p>
    <w:p w14:paraId="0EE59291" w14:textId="2697F541" w:rsidR="00DE4835" w:rsidRDefault="00DE4835" w:rsidP="00DE4835">
      <w:pPr>
        <w:pStyle w:val="Heading1"/>
      </w:pPr>
      <w:bookmarkStart w:id="0" w:name="_Toc40710739"/>
      <w:bookmarkStart w:id="1" w:name="_Toc42681239"/>
      <w:r>
        <w:lastRenderedPageBreak/>
        <w:t>Introduction</w:t>
      </w:r>
      <w:bookmarkEnd w:id="0"/>
      <w:bookmarkEnd w:id="1"/>
    </w:p>
    <w:p w14:paraId="18347B3A" w14:textId="3A4F16E6" w:rsidR="00DE4835" w:rsidRPr="00DE4835" w:rsidRDefault="00DE4835" w:rsidP="00E30484">
      <w:pPr>
        <w:rPr>
          <w:szCs w:val="24"/>
        </w:rPr>
      </w:pPr>
    </w:p>
    <w:p w14:paraId="306FE4AD" w14:textId="67A2F8AB" w:rsidR="00DE4835" w:rsidRDefault="00487894" w:rsidP="00DE4835">
      <w:pPr>
        <w:pStyle w:val="NoSpacing"/>
      </w:pPr>
      <w:r>
        <w:t xml:space="preserve">This </w:t>
      </w:r>
      <w:r w:rsidR="004D3419">
        <w:t xml:space="preserve">is the </w:t>
      </w:r>
      <w:r w:rsidR="001E0E5D">
        <w:t>202</w:t>
      </w:r>
      <w:r w:rsidR="00733B8D">
        <w:t>3</w:t>
      </w:r>
      <w:r w:rsidR="001E0E5D">
        <w:t xml:space="preserve"> </w:t>
      </w:r>
      <w:r w:rsidR="004D3419">
        <w:t xml:space="preserve">version </w:t>
      </w:r>
      <w:r w:rsidR="00E73492">
        <w:t xml:space="preserve">of the </w:t>
      </w:r>
      <w:r>
        <w:t xml:space="preserve">appendix </w:t>
      </w:r>
      <w:r w:rsidR="001E0E5D">
        <w:t xml:space="preserve">which </w:t>
      </w:r>
      <w:r w:rsidR="00DE4835" w:rsidRPr="00DE4835">
        <w:t xml:space="preserve">sets out </w:t>
      </w:r>
      <w:r>
        <w:t>the</w:t>
      </w:r>
      <w:r w:rsidR="007D23A9">
        <w:t xml:space="preserve"> evidence</w:t>
      </w:r>
      <w:r w:rsidR="001E0E5D">
        <w:t xml:space="preserve"> to </w:t>
      </w:r>
      <w:r w:rsidR="007D23A9">
        <w:t xml:space="preserve">support </w:t>
      </w:r>
      <w:r>
        <w:t>Gedling Borough Council</w:t>
      </w:r>
      <w:r w:rsidR="007D23A9">
        <w:t xml:space="preserve">’s approach to the following matters comprising the SHLAA </w:t>
      </w:r>
      <w:proofErr w:type="gramStart"/>
      <w:r w:rsidR="007D23A9">
        <w:t>methodology:-</w:t>
      </w:r>
      <w:proofErr w:type="gramEnd"/>
    </w:p>
    <w:p w14:paraId="61283A63" w14:textId="15CE51F5" w:rsidR="00487894" w:rsidRDefault="00487894" w:rsidP="00DE4835">
      <w:pPr>
        <w:pStyle w:val="NoSpacing"/>
      </w:pPr>
    </w:p>
    <w:p w14:paraId="5F54C39A" w14:textId="323A541D" w:rsidR="00487894" w:rsidRDefault="00487894" w:rsidP="00487894">
      <w:pPr>
        <w:pStyle w:val="NoSpacing"/>
        <w:numPr>
          <w:ilvl w:val="0"/>
          <w:numId w:val="13"/>
        </w:numPr>
      </w:pPr>
      <w:r>
        <w:t>Density;</w:t>
      </w:r>
    </w:p>
    <w:p w14:paraId="51E0CA67" w14:textId="296E145C" w:rsidR="00487894" w:rsidRDefault="00487894" w:rsidP="00487894">
      <w:pPr>
        <w:pStyle w:val="NoSpacing"/>
        <w:numPr>
          <w:ilvl w:val="0"/>
          <w:numId w:val="13"/>
        </w:numPr>
      </w:pPr>
      <w:r>
        <w:t>Lead-in times and build-out rates;</w:t>
      </w:r>
    </w:p>
    <w:p w14:paraId="37C1BAFE" w14:textId="1D3C7FA4" w:rsidR="00487894" w:rsidRDefault="00487894" w:rsidP="00487894">
      <w:pPr>
        <w:pStyle w:val="NoSpacing"/>
        <w:numPr>
          <w:ilvl w:val="0"/>
          <w:numId w:val="13"/>
        </w:numPr>
      </w:pPr>
      <w:r>
        <w:t>Windfall allowance; and</w:t>
      </w:r>
    </w:p>
    <w:p w14:paraId="1E2F797E" w14:textId="63547F7E" w:rsidR="00487894" w:rsidRDefault="00487894" w:rsidP="00487894">
      <w:pPr>
        <w:pStyle w:val="NoSpacing"/>
        <w:numPr>
          <w:ilvl w:val="0"/>
          <w:numId w:val="13"/>
        </w:numPr>
      </w:pPr>
      <w:r>
        <w:t>Non-implementation rates.</w:t>
      </w:r>
    </w:p>
    <w:p w14:paraId="1E549ABC" w14:textId="1520D7C1" w:rsidR="00487894" w:rsidRDefault="00487894" w:rsidP="00DE4835">
      <w:pPr>
        <w:pStyle w:val="NoSpacing"/>
      </w:pPr>
    </w:p>
    <w:p w14:paraId="2801D2CB" w14:textId="722A982D" w:rsidR="00E73492" w:rsidRDefault="00395C16" w:rsidP="00DE4835">
      <w:pPr>
        <w:pStyle w:val="NoSpacing"/>
      </w:pPr>
      <w:r>
        <w:t>T</w:t>
      </w:r>
      <w:r w:rsidR="00E73492">
        <w:t xml:space="preserve">he key differences </w:t>
      </w:r>
      <w:r w:rsidR="004D3419">
        <w:t xml:space="preserve">between </w:t>
      </w:r>
      <w:r>
        <w:t xml:space="preserve">this </w:t>
      </w:r>
      <w:r w:rsidR="004D3419">
        <w:t xml:space="preserve">and the previous </w:t>
      </w:r>
      <w:proofErr w:type="gramStart"/>
      <w:r w:rsidR="00611023">
        <w:t>202</w:t>
      </w:r>
      <w:r w:rsidR="00733B8D">
        <w:t xml:space="preserve">2 </w:t>
      </w:r>
      <w:r w:rsidR="00611023">
        <w:t xml:space="preserve"> </w:t>
      </w:r>
      <w:r w:rsidR="004D3419">
        <w:t>version</w:t>
      </w:r>
      <w:proofErr w:type="gramEnd"/>
      <w:r w:rsidR="004D3419">
        <w:t xml:space="preserve"> </w:t>
      </w:r>
      <w:r w:rsidR="00E73492">
        <w:t>are as follows:-</w:t>
      </w:r>
    </w:p>
    <w:p w14:paraId="5CE90BAA" w14:textId="07B79769" w:rsidR="00E73492" w:rsidRDefault="00E73492" w:rsidP="00DE4835">
      <w:pPr>
        <w:pStyle w:val="NoSpacing"/>
      </w:pPr>
    </w:p>
    <w:p w14:paraId="29385CD4" w14:textId="6B73892C" w:rsidR="00E73492" w:rsidRDefault="00AF6A2A" w:rsidP="00DE4835">
      <w:pPr>
        <w:pStyle w:val="NoSpacing"/>
      </w:pPr>
      <w:r w:rsidRPr="00AF6A2A">
        <w:t xml:space="preserve">In the main </w:t>
      </w:r>
      <w:proofErr w:type="gramStart"/>
      <w:r w:rsidRPr="00AF6A2A">
        <w:t>built up</w:t>
      </w:r>
      <w:proofErr w:type="gramEnd"/>
      <w:r w:rsidRPr="00AF6A2A">
        <w:t xml:space="preserve"> area, the density of medium sites has decreased from 30 to 29 dwellings per hectare but the density of large sites remains unchanged. In lower density settlements, t</w:t>
      </w:r>
      <w:r w:rsidR="005D3FAC" w:rsidRPr="00AF6A2A">
        <w:t xml:space="preserve">he density for medium sites </w:t>
      </w:r>
      <w:r>
        <w:t xml:space="preserve">has </w:t>
      </w:r>
      <w:r w:rsidR="005D3FAC" w:rsidRPr="00AF6A2A">
        <w:t xml:space="preserve">increased from </w:t>
      </w:r>
      <w:r w:rsidR="002710FB" w:rsidRPr="00AF6A2A">
        <w:t xml:space="preserve">17 </w:t>
      </w:r>
      <w:r w:rsidR="005D3FAC" w:rsidRPr="00AF6A2A">
        <w:t xml:space="preserve">to </w:t>
      </w:r>
      <w:r w:rsidR="002710FB" w:rsidRPr="00AF6A2A">
        <w:t>18</w:t>
      </w:r>
      <w:r>
        <w:t xml:space="preserve"> </w:t>
      </w:r>
      <w:r w:rsidR="005D3FAC" w:rsidRPr="00AF6A2A">
        <w:t>dwelling</w:t>
      </w:r>
      <w:r>
        <w:t>s</w:t>
      </w:r>
      <w:r w:rsidR="005D3FAC" w:rsidRPr="00AF6A2A">
        <w:t xml:space="preserve"> per hectare</w:t>
      </w:r>
      <w:r w:rsidRPr="00AF6A2A">
        <w:t xml:space="preserve"> but t</w:t>
      </w:r>
      <w:r w:rsidR="00FF3577" w:rsidRPr="00AF6A2A">
        <w:t>he density for large sites remains unchanged.</w:t>
      </w:r>
      <w:r w:rsidR="002710FB" w:rsidRPr="00AF6A2A">
        <w:t xml:space="preserve"> </w:t>
      </w:r>
      <w:r w:rsidRPr="00AF6A2A">
        <w:t xml:space="preserve"> In higher density settlements, the density </w:t>
      </w:r>
      <w:r w:rsidR="002710FB" w:rsidRPr="00AF6A2A">
        <w:t>for medium sites remains unchanged</w:t>
      </w:r>
      <w:r w:rsidRPr="00AF6A2A">
        <w:t xml:space="preserve"> but the </w:t>
      </w:r>
      <w:r w:rsidR="002710FB" w:rsidRPr="00AF6A2A">
        <w:t xml:space="preserve">density for larger sites </w:t>
      </w:r>
      <w:r w:rsidRPr="00AF6A2A">
        <w:t>has</w:t>
      </w:r>
      <w:r w:rsidR="002710FB" w:rsidRPr="00AF6A2A">
        <w:t xml:space="preserve"> increased from 27</w:t>
      </w:r>
      <w:r w:rsidR="00AB30C3" w:rsidRPr="00AF6A2A">
        <w:t xml:space="preserve"> </w:t>
      </w:r>
      <w:r w:rsidR="002710FB" w:rsidRPr="00AF6A2A">
        <w:t>to 28</w:t>
      </w:r>
      <w:r w:rsidR="00AB30C3" w:rsidRPr="00AF6A2A">
        <w:t xml:space="preserve"> dwellings per hectare</w:t>
      </w:r>
      <w:r w:rsidR="002710FB" w:rsidRPr="00AF6A2A">
        <w:t>.</w:t>
      </w:r>
      <w:r w:rsidR="002710FB">
        <w:t xml:space="preserve"> </w:t>
      </w:r>
    </w:p>
    <w:p w14:paraId="32776777" w14:textId="77777777" w:rsidR="00E73492" w:rsidRDefault="00E73492" w:rsidP="00DE4835">
      <w:pPr>
        <w:pStyle w:val="NoSpacing"/>
      </w:pPr>
    </w:p>
    <w:p w14:paraId="4BBFBCA6" w14:textId="18113821" w:rsidR="00C0406E" w:rsidRDefault="005C1B32" w:rsidP="00DE4835">
      <w:pPr>
        <w:pStyle w:val="NoSpacing"/>
      </w:pPr>
      <w:r>
        <w:t>The lead-in times for new build dwellings</w:t>
      </w:r>
      <w:r w:rsidR="00EF288E">
        <w:t>,</w:t>
      </w:r>
      <w:r>
        <w:t xml:space="preserve"> </w:t>
      </w:r>
      <w:proofErr w:type="gramStart"/>
      <w:r>
        <w:t>conversions</w:t>
      </w:r>
      <w:proofErr w:type="gramEnd"/>
      <w:r>
        <w:t xml:space="preserve"> </w:t>
      </w:r>
      <w:r w:rsidR="00EF288E">
        <w:t xml:space="preserve">and </w:t>
      </w:r>
      <w:r>
        <w:t>changes of use to residential use</w:t>
      </w:r>
      <w:r w:rsidR="00EF288E">
        <w:t xml:space="preserve"> remain</w:t>
      </w:r>
      <w:r>
        <w:t xml:space="preserve"> </w:t>
      </w:r>
      <w:r w:rsidR="00EF288E">
        <w:t>un</w:t>
      </w:r>
      <w:r>
        <w:t>changed</w:t>
      </w:r>
      <w:r w:rsidR="00AF6A2A">
        <w:t>.</w:t>
      </w:r>
      <w:r>
        <w:t xml:space="preserve"> </w:t>
      </w:r>
    </w:p>
    <w:p w14:paraId="26E88842" w14:textId="69529B63" w:rsidR="00C0406E" w:rsidRDefault="00C0406E" w:rsidP="00DE4835">
      <w:pPr>
        <w:pStyle w:val="NoSpacing"/>
      </w:pPr>
    </w:p>
    <w:p w14:paraId="5D9C01DE" w14:textId="46B68F15" w:rsidR="00C0406E" w:rsidRDefault="005C1B32" w:rsidP="00DE4835">
      <w:pPr>
        <w:pStyle w:val="NoSpacing"/>
      </w:pPr>
      <w:r>
        <w:t xml:space="preserve">An update to the build-out rates </w:t>
      </w:r>
      <w:proofErr w:type="gramStart"/>
      <w:r>
        <w:t>show</w:t>
      </w:r>
      <w:proofErr w:type="gramEnd"/>
      <w:r>
        <w:t xml:space="preserve"> </w:t>
      </w:r>
      <w:r w:rsidR="00EF288E">
        <w:t xml:space="preserve">no change from </w:t>
      </w:r>
      <w:r>
        <w:t>an average of 1 home built per year on small sites (1-9 dwellings)</w:t>
      </w:r>
      <w:r w:rsidR="00EF288E">
        <w:t>.</w:t>
      </w:r>
      <w:r>
        <w:t xml:space="preserve"> </w:t>
      </w:r>
      <w:r w:rsidR="00EF288E">
        <w:t xml:space="preserve"> Changes to the build-out rates show a</w:t>
      </w:r>
      <w:r>
        <w:t xml:space="preserve">n average of </w:t>
      </w:r>
      <w:r w:rsidR="00376E71">
        <w:t>1</w:t>
      </w:r>
      <w:r w:rsidR="00EF288E">
        <w:t>1</w:t>
      </w:r>
      <w:r w:rsidR="00376E71">
        <w:t xml:space="preserve"> homes (from 1</w:t>
      </w:r>
      <w:r w:rsidR="00EF288E">
        <w:t>0</w:t>
      </w:r>
      <w:r w:rsidR="00376E71">
        <w:t xml:space="preserve"> homes) built per year on medium sites (10-49 dwellings) and an average of </w:t>
      </w:r>
      <w:r>
        <w:t>3</w:t>
      </w:r>
      <w:r w:rsidR="00EF288E">
        <w:t>2</w:t>
      </w:r>
      <w:r>
        <w:t xml:space="preserve"> homes (from 3</w:t>
      </w:r>
      <w:r w:rsidR="00EF288E">
        <w:t>0</w:t>
      </w:r>
      <w:r>
        <w:t xml:space="preserve"> homes) built per year o</w:t>
      </w:r>
      <w:r w:rsidR="00376E71">
        <w:t>n large sites (50+ dwellings).</w:t>
      </w:r>
    </w:p>
    <w:p w14:paraId="59BF9B7A" w14:textId="77777777" w:rsidR="00244289" w:rsidRDefault="00244289" w:rsidP="00DE4835">
      <w:pPr>
        <w:pStyle w:val="NoSpacing"/>
      </w:pPr>
    </w:p>
    <w:p w14:paraId="4DF7F75C" w14:textId="4FBDC77F" w:rsidR="00E73492" w:rsidRDefault="00BB617D" w:rsidP="00DE4835">
      <w:pPr>
        <w:pStyle w:val="NoSpacing"/>
      </w:pPr>
      <w:r>
        <w:t xml:space="preserve">The </w:t>
      </w:r>
      <w:r w:rsidR="00A17361">
        <w:t xml:space="preserve">windfall allowance figure has </w:t>
      </w:r>
      <w:r w:rsidR="00EF288E">
        <w:t xml:space="preserve">increased </w:t>
      </w:r>
      <w:r w:rsidR="00A17361">
        <w:t>from 1</w:t>
      </w:r>
      <w:r w:rsidR="00EF288E">
        <w:t>29</w:t>
      </w:r>
      <w:r w:rsidR="001D20B9">
        <w:t xml:space="preserve"> to 1</w:t>
      </w:r>
      <w:r w:rsidR="00EF288E">
        <w:t>38</w:t>
      </w:r>
      <w:r w:rsidR="00A17361">
        <w:t>.</w:t>
      </w:r>
    </w:p>
    <w:p w14:paraId="1A7ABCED" w14:textId="4F51600F" w:rsidR="00E73492" w:rsidRDefault="00E73492" w:rsidP="00DE4835">
      <w:pPr>
        <w:pStyle w:val="NoSpacing"/>
      </w:pPr>
    </w:p>
    <w:p w14:paraId="203E63AC" w14:textId="6C2081EB" w:rsidR="00E73492" w:rsidRDefault="00376E71" w:rsidP="00DE4835">
      <w:pPr>
        <w:pStyle w:val="NoSpacing"/>
      </w:pPr>
      <w:r>
        <w:t>The non-implementation (lapse) rate</w:t>
      </w:r>
      <w:r w:rsidR="00FF3577">
        <w:t>s</w:t>
      </w:r>
      <w:r>
        <w:t xml:space="preserve"> for small sites (1-9 dwellings) and medium/lar</w:t>
      </w:r>
      <w:r w:rsidR="00FF3577">
        <w:t>ge sites (10+ dwellings) remain</w:t>
      </w:r>
      <w:r>
        <w:t xml:space="preserve"> unchanged.</w:t>
      </w:r>
    </w:p>
    <w:p w14:paraId="318916D1" w14:textId="77777777" w:rsidR="00E73492" w:rsidRDefault="00E73492" w:rsidP="00DE4835">
      <w:pPr>
        <w:pStyle w:val="NoSpacing"/>
      </w:pPr>
    </w:p>
    <w:p w14:paraId="2EC0EE79" w14:textId="252AC8F4" w:rsidR="00487894" w:rsidRDefault="00487894" w:rsidP="00DE4835">
      <w:pPr>
        <w:pStyle w:val="NoSpacing"/>
      </w:pPr>
      <w:r>
        <w:t>Th</w:t>
      </w:r>
      <w:r w:rsidR="008D1B26">
        <w:t xml:space="preserve">is </w:t>
      </w:r>
      <w:r>
        <w:t>appendix will be</w:t>
      </w:r>
      <w:r w:rsidR="001E0E5D">
        <w:t xml:space="preserve"> revisited as part of the annual SHLAA update</w:t>
      </w:r>
      <w:r>
        <w:t>.</w:t>
      </w:r>
      <w:r w:rsidR="00DE77F0" w:rsidRPr="00DE77F0">
        <w:t xml:space="preserve"> </w:t>
      </w:r>
      <w:r w:rsidR="00DE77F0">
        <w:t xml:space="preserve"> Where there has been a change affecting the joint SHLAA methodology report, the report will be updated accordingly</w:t>
      </w:r>
      <w:r w:rsidR="000D6892">
        <w:t>.</w:t>
      </w:r>
    </w:p>
    <w:p w14:paraId="01320222" w14:textId="77777777" w:rsidR="00487894" w:rsidRPr="00DE4835" w:rsidRDefault="00487894" w:rsidP="00DE4835">
      <w:pPr>
        <w:pStyle w:val="NoSpacing"/>
      </w:pPr>
    </w:p>
    <w:p w14:paraId="768871AB" w14:textId="77777777" w:rsidR="00DE4835" w:rsidRDefault="00DE4835" w:rsidP="00E30484">
      <w:pPr>
        <w:rPr>
          <w:b/>
          <w:szCs w:val="24"/>
          <w:u w:val="single"/>
        </w:rPr>
      </w:pPr>
      <w:r>
        <w:rPr>
          <w:b/>
          <w:szCs w:val="24"/>
          <w:u w:val="single"/>
        </w:rPr>
        <w:br w:type="page"/>
      </w:r>
    </w:p>
    <w:p w14:paraId="6B7DAA7A" w14:textId="342282B0" w:rsidR="00E30484" w:rsidRPr="00E30484" w:rsidRDefault="00E30484" w:rsidP="00487894">
      <w:pPr>
        <w:pStyle w:val="Heading1"/>
      </w:pPr>
      <w:bookmarkStart w:id="2" w:name="_Toc42681240"/>
      <w:r w:rsidRPr="00E30484">
        <w:lastRenderedPageBreak/>
        <w:t>Density</w:t>
      </w:r>
      <w:bookmarkEnd w:id="2"/>
    </w:p>
    <w:p w14:paraId="54688962" w14:textId="5CAE43D0" w:rsidR="002D0A11" w:rsidRDefault="002D0A11" w:rsidP="00E30484">
      <w:pPr>
        <w:pStyle w:val="NoSpacing"/>
      </w:pPr>
    </w:p>
    <w:p w14:paraId="246C5F8D" w14:textId="36511D62" w:rsidR="002D0A11" w:rsidRDefault="002D0A11" w:rsidP="00E30484">
      <w:pPr>
        <w:pStyle w:val="NoSpacing"/>
      </w:pPr>
      <w:r>
        <w:t xml:space="preserve">See </w:t>
      </w:r>
      <w:r w:rsidR="000F1830">
        <w:t>paragraphs 29</w:t>
      </w:r>
      <w:r w:rsidR="00B004CF">
        <w:t>-</w:t>
      </w:r>
      <w:r w:rsidR="000F1830">
        <w:t>32 of the</w:t>
      </w:r>
      <w:r w:rsidR="00AB704C">
        <w:t xml:space="preserve"> joint </w:t>
      </w:r>
      <w:r w:rsidR="005A7062">
        <w:t>SHLAA m</w:t>
      </w:r>
      <w:r w:rsidRPr="002D0A11">
        <w:t xml:space="preserve">ethodology </w:t>
      </w:r>
      <w:r w:rsidR="005A7062">
        <w:t>report</w:t>
      </w:r>
      <w:r>
        <w:t>.</w:t>
      </w:r>
    </w:p>
    <w:p w14:paraId="1D9F68CC" w14:textId="77777777" w:rsidR="002D0A11" w:rsidRDefault="002D0A11" w:rsidP="00E30484">
      <w:pPr>
        <w:pStyle w:val="NoSpacing"/>
      </w:pPr>
    </w:p>
    <w:p w14:paraId="5C2FE644" w14:textId="46B43B9D" w:rsidR="00A27E8A" w:rsidRDefault="007D23A9" w:rsidP="00707F64">
      <w:pPr>
        <w:pStyle w:val="NoSpacing"/>
      </w:pPr>
      <w:r>
        <w:t xml:space="preserve">In order </w:t>
      </w:r>
      <w:r w:rsidR="00707F64">
        <w:t xml:space="preserve">to estimate the capacity of </w:t>
      </w:r>
      <w:r>
        <w:t xml:space="preserve">SHLAA </w:t>
      </w:r>
      <w:r w:rsidR="00707F64">
        <w:t>site</w:t>
      </w:r>
      <w:r>
        <w:t>s, work has been undertaken</w:t>
      </w:r>
      <w:r w:rsidR="00707F64">
        <w:t xml:space="preserve"> to </w:t>
      </w:r>
      <w:r>
        <w:t xml:space="preserve">establish </w:t>
      </w:r>
      <w:r w:rsidR="00707F64">
        <w:t xml:space="preserve">the average density for new build </w:t>
      </w:r>
      <w:r w:rsidR="005C0567">
        <w:t xml:space="preserve">houses </w:t>
      </w:r>
      <w:r w:rsidR="00A27E8A">
        <w:t>granted in different parts of the Borough</w:t>
      </w:r>
      <w:r>
        <w:t>.</w:t>
      </w:r>
      <w:r w:rsidR="00240F55">
        <w:t xml:space="preserve">  </w:t>
      </w:r>
      <w:r w:rsidR="005A7062">
        <w:t xml:space="preserve">The period from April 2011 </w:t>
      </w:r>
      <w:r w:rsidR="00AB704C">
        <w:t>is</w:t>
      </w:r>
      <w:r w:rsidR="005A7062">
        <w:t xml:space="preserve"> used to reflect the start date of the adopted Local Plan period.  </w:t>
      </w:r>
      <w:r w:rsidR="00240F55">
        <w:t>Th</w:t>
      </w:r>
      <w:r w:rsidR="005A7062">
        <w:t xml:space="preserve">e work </w:t>
      </w:r>
      <w:r w:rsidR="00240F55">
        <w:t>e</w:t>
      </w:r>
      <w:r w:rsidR="00AB704C">
        <w:t xml:space="preserve">xcludes sites for up to </w:t>
      </w:r>
      <w:r w:rsidR="00DB20C2">
        <w:t>9</w:t>
      </w:r>
      <w:r w:rsidR="00240F55" w:rsidRPr="00240F55">
        <w:t xml:space="preserve"> </w:t>
      </w:r>
      <w:r w:rsidR="005C0567">
        <w:t xml:space="preserve">houses </w:t>
      </w:r>
      <w:r w:rsidR="00240F55" w:rsidRPr="00240F55">
        <w:t xml:space="preserve">as </w:t>
      </w:r>
      <w:r w:rsidR="005A7062">
        <w:t xml:space="preserve">it is considered that the </w:t>
      </w:r>
      <w:r w:rsidR="00240F55" w:rsidRPr="00240F55">
        <w:t>density</w:t>
      </w:r>
      <w:r w:rsidR="000F1830">
        <w:t xml:space="preserve"> of smaller sites</w:t>
      </w:r>
      <w:r w:rsidR="00240F55" w:rsidRPr="00240F55">
        <w:t xml:space="preserve"> will be</w:t>
      </w:r>
      <w:r w:rsidR="000F1830">
        <w:t xml:space="preserve"> more</w:t>
      </w:r>
      <w:r w:rsidR="00240F55" w:rsidRPr="00240F55">
        <w:t xml:space="preserve"> dependent on site</w:t>
      </w:r>
      <w:r w:rsidR="000F1830">
        <w:t xml:space="preserve"> specific</w:t>
      </w:r>
      <w:r w:rsidR="00240F55" w:rsidRPr="00240F55">
        <w:t xml:space="preserve"> characteristics.</w:t>
      </w:r>
    </w:p>
    <w:p w14:paraId="79F6CD53" w14:textId="77777777" w:rsidR="00A27E8A" w:rsidRDefault="00A27E8A" w:rsidP="00707F64">
      <w:pPr>
        <w:pStyle w:val="NoSpacing"/>
      </w:pPr>
    </w:p>
    <w:p w14:paraId="331E0BB6" w14:textId="15D09E72" w:rsidR="00E30484" w:rsidRDefault="00A27E8A" w:rsidP="00A27E8A">
      <w:pPr>
        <w:pStyle w:val="NoSpacing"/>
        <w:rPr>
          <w:szCs w:val="24"/>
        </w:rPr>
      </w:pPr>
      <w:r>
        <w:t xml:space="preserve">The table below </w:t>
      </w:r>
      <w:r w:rsidR="00E30484" w:rsidRPr="00E30484">
        <w:rPr>
          <w:szCs w:val="24"/>
        </w:rPr>
        <w:t>show</w:t>
      </w:r>
      <w:r w:rsidR="00E30484">
        <w:rPr>
          <w:szCs w:val="24"/>
        </w:rPr>
        <w:t>s</w:t>
      </w:r>
      <w:r w:rsidR="00E30484" w:rsidRPr="00E30484">
        <w:rPr>
          <w:szCs w:val="24"/>
        </w:rPr>
        <w:t xml:space="preserve"> the average density for </w:t>
      </w:r>
      <w:r w:rsidR="00FF5623">
        <w:rPr>
          <w:szCs w:val="24"/>
        </w:rPr>
        <w:t xml:space="preserve">sites with full permission for </w:t>
      </w:r>
      <w:r w:rsidR="00DB20C2">
        <w:rPr>
          <w:szCs w:val="24"/>
        </w:rPr>
        <w:t>10+</w:t>
      </w:r>
      <w:r w:rsidR="00AB704C">
        <w:rPr>
          <w:szCs w:val="24"/>
        </w:rPr>
        <w:t xml:space="preserve"> </w:t>
      </w:r>
      <w:r w:rsidR="00E30484" w:rsidRPr="00E30484">
        <w:rPr>
          <w:szCs w:val="24"/>
        </w:rPr>
        <w:t xml:space="preserve">new build </w:t>
      </w:r>
      <w:r>
        <w:rPr>
          <w:szCs w:val="24"/>
        </w:rPr>
        <w:t xml:space="preserve">houses </w:t>
      </w:r>
      <w:r w:rsidR="00BC515C">
        <w:rPr>
          <w:szCs w:val="24"/>
        </w:rPr>
        <w:t xml:space="preserve">granted </w:t>
      </w:r>
      <w:r w:rsidR="00E30484" w:rsidRPr="00E30484">
        <w:rPr>
          <w:szCs w:val="24"/>
        </w:rPr>
        <w:t xml:space="preserve">in different parts of the </w:t>
      </w:r>
      <w:r w:rsidR="00FF5623">
        <w:rPr>
          <w:szCs w:val="24"/>
        </w:rPr>
        <w:t>Borough</w:t>
      </w:r>
      <w:r w:rsidR="00E30484" w:rsidRPr="00E30484">
        <w:rPr>
          <w:szCs w:val="24"/>
        </w:rPr>
        <w:t xml:space="preserve"> </w:t>
      </w:r>
      <w:r w:rsidR="00BC515C">
        <w:rPr>
          <w:szCs w:val="24"/>
        </w:rPr>
        <w:t xml:space="preserve">during </w:t>
      </w:r>
      <w:r w:rsidR="00E30484">
        <w:rPr>
          <w:szCs w:val="24"/>
        </w:rPr>
        <w:t xml:space="preserve">the period 1 April 2011 </w:t>
      </w:r>
      <w:r w:rsidR="00240F55">
        <w:rPr>
          <w:szCs w:val="24"/>
        </w:rPr>
        <w:t xml:space="preserve">– </w:t>
      </w:r>
      <w:r w:rsidR="00E30484">
        <w:rPr>
          <w:szCs w:val="24"/>
        </w:rPr>
        <w:t>31 March</w:t>
      </w:r>
      <w:r w:rsidR="006A433D">
        <w:rPr>
          <w:szCs w:val="24"/>
        </w:rPr>
        <w:t xml:space="preserve"> 202</w:t>
      </w:r>
      <w:r w:rsidR="00EF288E">
        <w:rPr>
          <w:szCs w:val="24"/>
        </w:rPr>
        <w:t>3</w:t>
      </w:r>
      <w:r w:rsidR="00E30484" w:rsidRPr="00E30484">
        <w:rPr>
          <w:szCs w:val="24"/>
        </w:rPr>
        <w:t>.</w:t>
      </w:r>
    </w:p>
    <w:p w14:paraId="6D53A2A6" w14:textId="4D1D2150" w:rsidR="00AB704C" w:rsidRDefault="00AB704C" w:rsidP="00A27E8A">
      <w:pPr>
        <w:pStyle w:val="NoSpacing"/>
        <w:rPr>
          <w:szCs w:val="24"/>
        </w:rPr>
      </w:pPr>
    </w:p>
    <w:p w14:paraId="7193C690" w14:textId="2A6D9BFE" w:rsidR="00AB704C" w:rsidRPr="00E30484" w:rsidRDefault="00AB704C" w:rsidP="00A27E8A">
      <w:pPr>
        <w:pStyle w:val="NoSpacing"/>
        <w:rPr>
          <w:szCs w:val="24"/>
        </w:rPr>
      </w:pPr>
      <w:r w:rsidRPr="00AB704C">
        <w:t xml:space="preserve">Where </w:t>
      </w:r>
      <w:r>
        <w:t>data is not available,</w:t>
      </w:r>
      <w:r w:rsidRPr="00AB704C">
        <w:t xml:space="preserve"> the site capacity and density will be based on </w:t>
      </w:r>
      <w:r>
        <w:t>Policy LPD 33 – Residential D</w:t>
      </w:r>
      <w:r w:rsidRPr="00AB704C">
        <w:t xml:space="preserve">ensity in </w:t>
      </w:r>
      <w:r>
        <w:t xml:space="preserve">the Gedling Borough Local Planning Document </w:t>
      </w:r>
      <w:r w:rsidRPr="00AB704C">
        <w:t>Part 2 Local Plan</w:t>
      </w:r>
      <w:r>
        <w:t>.  The table will be updated in the future when the evidence becomes available.</w:t>
      </w:r>
    </w:p>
    <w:p w14:paraId="22B41EBC" w14:textId="001CBD54" w:rsidR="00707F64" w:rsidRDefault="00707F64" w:rsidP="00E30484">
      <w:pPr>
        <w:pStyle w:val="NoSpacing"/>
      </w:pPr>
    </w:p>
    <w:tbl>
      <w:tblPr>
        <w:tblW w:w="8926" w:type="dxa"/>
        <w:tblLayout w:type="fixed"/>
        <w:tblLook w:val="04A0" w:firstRow="1" w:lastRow="0" w:firstColumn="1" w:lastColumn="0" w:noHBand="0" w:noVBand="1"/>
        <w:tblCaption w:val="Density table"/>
        <w:tblDescription w:val="The table provides data on average density on medium and large sites in the main built up area, higher density settlement and lower density settlement."/>
      </w:tblPr>
      <w:tblGrid>
        <w:gridCol w:w="4957"/>
        <w:gridCol w:w="1984"/>
        <w:gridCol w:w="1985"/>
      </w:tblGrid>
      <w:tr w:rsidR="00707F64" w:rsidRPr="00EB73EF" w14:paraId="4F347E1D" w14:textId="77777777" w:rsidTr="008D1B26">
        <w:trPr>
          <w:cantSplit/>
          <w:trHeight w:val="58"/>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730BCF10" w14:textId="77777777" w:rsidR="00707F64" w:rsidRPr="00EB73EF" w:rsidRDefault="00707F64" w:rsidP="008D1B26">
            <w:pPr>
              <w:rPr>
                <w:rFonts w:eastAsia="Times New Roman" w:cs="Arial"/>
                <w:b/>
                <w:bCs/>
                <w:szCs w:val="24"/>
                <w:lang w:eastAsia="en-GB"/>
              </w:rPr>
            </w:pPr>
          </w:p>
        </w:tc>
        <w:tc>
          <w:tcPr>
            <w:tcW w:w="1984" w:type="dxa"/>
            <w:tcBorders>
              <w:top w:val="single" w:sz="4" w:space="0" w:color="auto"/>
              <w:left w:val="nil"/>
              <w:bottom w:val="single" w:sz="4" w:space="0" w:color="auto"/>
              <w:right w:val="single" w:sz="4" w:space="0" w:color="auto"/>
            </w:tcBorders>
            <w:shd w:val="clear" w:color="auto" w:fill="auto"/>
          </w:tcPr>
          <w:p w14:paraId="27137E91" w14:textId="77777777" w:rsidR="00707F64" w:rsidRPr="00764234" w:rsidRDefault="00707F64" w:rsidP="008D1B26">
            <w:pPr>
              <w:jc w:val="center"/>
              <w:rPr>
                <w:rFonts w:eastAsia="Times New Roman" w:cs="Arial"/>
                <w:bCs/>
                <w:szCs w:val="24"/>
                <w:lang w:eastAsia="en-GB"/>
              </w:rPr>
            </w:pPr>
            <w:r w:rsidRPr="00764234">
              <w:rPr>
                <w:rFonts w:eastAsia="Times New Roman" w:cs="Arial"/>
                <w:bCs/>
                <w:szCs w:val="24"/>
                <w:lang w:eastAsia="en-GB"/>
              </w:rPr>
              <w:t>Medium sites</w:t>
            </w:r>
          </w:p>
          <w:p w14:paraId="31EB4DEE" w14:textId="403625EE" w:rsidR="00707F64" w:rsidRPr="00764234" w:rsidRDefault="00707F64" w:rsidP="00B40296">
            <w:pPr>
              <w:ind w:left="-105" w:right="-77"/>
              <w:jc w:val="center"/>
              <w:rPr>
                <w:rFonts w:eastAsia="Times New Roman" w:cs="Arial"/>
                <w:bCs/>
                <w:szCs w:val="24"/>
                <w:lang w:eastAsia="en-GB"/>
              </w:rPr>
            </w:pPr>
            <w:r w:rsidRPr="00764234">
              <w:rPr>
                <w:rFonts w:eastAsia="Times New Roman" w:cs="Arial"/>
                <w:bCs/>
                <w:szCs w:val="24"/>
                <w:lang w:eastAsia="en-GB"/>
              </w:rPr>
              <w:t>10-49 dwellings</w:t>
            </w:r>
          </w:p>
        </w:tc>
        <w:tc>
          <w:tcPr>
            <w:tcW w:w="1985" w:type="dxa"/>
            <w:tcBorders>
              <w:top w:val="single" w:sz="4" w:space="0" w:color="auto"/>
              <w:left w:val="nil"/>
              <w:bottom w:val="single" w:sz="4" w:space="0" w:color="auto"/>
              <w:right w:val="single" w:sz="4" w:space="0" w:color="auto"/>
            </w:tcBorders>
            <w:shd w:val="clear" w:color="auto" w:fill="auto"/>
          </w:tcPr>
          <w:p w14:paraId="2B19615A" w14:textId="77777777" w:rsidR="00707F64" w:rsidRPr="00764234" w:rsidRDefault="00707F64" w:rsidP="008D1B26">
            <w:pPr>
              <w:jc w:val="center"/>
              <w:rPr>
                <w:rFonts w:eastAsia="Times New Roman" w:cs="Arial"/>
                <w:bCs/>
                <w:szCs w:val="24"/>
                <w:lang w:eastAsia="en-GB"/>
              </w:rPr>
            </w:pPr>
            <w:r w:rsidRPr="00764234">
              <w:rPr>
                <w:rFonts w:eastAsia="Times New Roman" w:cs="Arial"/>
                <w:bCs/>
                <w:szCs w:val="24"/>
                <w:lang w:eastAsia="en-GB"/>
              </w:rPr>
              <w:t>Large sites</w:t>
            </w:r>
          </w:p>
          <w:p w14:paraId="07B894E3" w14:textId="6F52C36F" w:rsidR="00707F64" w:rsidRPr="00764234" w:rsidRDefault="00707F64" w:rsidP="00D31CF1">
            <w:pPr>
              <w:jc w:val="center"/>
              <w:rPr>
                <w:rFonts w:eastAsia="Times New Roman" w:cs="Arial"/>
                <w:bCs/>
                <w:szCs w:val="24"/>
                <w:lang w:eastAsia="en-GB"/>
              </w:rPr>
            </w:pPr>
            <w:r w:rsidRPr="00764234">
              <w:rPr>
                <w:rFonts w:eastAsia="Times New Roman" w:cs="Arial"/>
                <w:bCs/>
                <w:szCs w:val="24"/>
                <w:lang w:eastAsia="en-GB"/>
              </w:rPr>
              <w:t>50+ dwellings</w:t>
            </w:r>
          </w:p>
        </w:tc>
      </w:tr>
      <w:tr w:rsidR="00707F64" w:rsidRPr="00326F00" w14:paraId="21109E26" w14:textId="77777777" w:rsidTr="00687CC4">
        <w:trPr>
          <w:cantSplit/>
          <w:trHeight w:val="708"/>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2BD6FA79" w14:textId="708F9E3A" w:rsidR="00707F64" w:rsidRPr="00EB73EF" w:rsidRDefault="00707F64" w:rsidP="008D1B26">
            <w:pPr>
              <w:rPr>
                <w:rFonts w:eastAsia="Times New Roman" w:cs="Arial"/>
                <w:b/>
                <w:color w:val="000000"/>
                <w:szCs w:val="24"/>
                <w:lang w:eastAsia="en-GB"/>
              </w:rPr>
            </w:pPr>
            <w:r w:rsidRPr="00EB73EF">
              <w:rPr>
                <w:rFonts w:eastAsia="Times New Roman" w:cs="Arial"/>
                <w:b/>
                <w:color w:val="000000"/>
                <w:szCs w:val="24"/>
                <w:lang w:eastAsia="en-GB"/>
              </w:rPr>
              <w:t>Main built up area</w:t>
            </w:r>
          </w:p>
          <w:p w14:paraId="36E3DB3A" w14:textId="1AF78439" w:rsidR="00707F64" w:rsidRPr="00707F64" w:rsidRDefault="00707F64" w:rsidP="00B365E0">
            <w:pPr>
              <w:rPr>
                <w:lang w:eastAsia="en-GB"/>
              </w:rPr>
            </w:pPr>
            <w:r w:rsidRPr="00707F64">
              <w:rPr>
                <w:lang w:eastAsia="en-GB"/>
              </w:rPr>
              <w:t>Arnold, Carlton and Hucknall</w:t>
            </w:r>
          </w:p>
        </w:tc>
        <w:tc>
          <w:tcPr>
            <w:tcW w:w="1984" w:type="dxa"/>
            <w:tcBorders>
              <w:top w:val="nil"/>
              <w:left w:val="nil"/>
              <w:bottom w:val="single" w:sz="4" w:space="0" w:color="auto"/>
              <w:right w:val="single" w:sz="4" w:space="0" w:color="auto"/>
            </w:tcBorders>
            <w:shd w:val="clear" w:color="auto" w:fill="auto"/>
            <w:noWrap/>
            <w:vAlign w:val="center"/>
          </w:tcPr>
          <w:p w14:paraId="5E5E2346" w14:textId="7F5B3D59" w:rsidR="00707F64" w:rsidRPr="009B2FAC" w:rsidRDefault="00EF288E" w:rsidP="005D3FAC">
            <w:pPr>
              <w:jc w:val="center"/>
              <w:rPr>
                <w:rFonts w:eastAsia="Times New Roman" w:cs="Arial"/>
                <w:szCs w:val="24"/>
                <w:lang w:eastAsia="en-GB"/>
              </w:rPr>
            </w:pPr>
            <w:r>
              <w:rPr>
                <w:rFonts w:eastAsia="Times New Roman" w:cs="Arial"/>
                <w:szCs w:val="24"/>
                <w:lang w:eastAsia="en-GB"/>
              </w:rPr>
              <w:t>29</w:t>
            </w:r>
            <w:r w:rsidR="007D23A9">
              <w:rPr>
                <w:rFonts w:eastAsia="Times New Roman" w:cs="Arial"/>
                <w:szCs w:val="24"/>
                <w:lang w:eastAsia="en-GB"/>
              </w:rPr>
              <w:t xml:space="preserve"> </w:t>
            </w:r>
            <w:proofErr w:type="spellStart"/>
            <w:r w:rsidR="007D23A9">
              <w:rPr>
                <w:rFonts w:eastAsia="Times New Roman" w:cs="Arial"/>
                <w:szCs w:val="24"/>
                <w:lang w:eastAsia="en-GB"/>
              </w:rPr>
              <w:t>dph</w:t>
            </w:r>
            <w:proofErr w:type="spellEnd"/>
          </w:p>
        </w:tc>
        <w:tc>
          <w:tcPr>
            <w:tcW w:w="1985" w:type="dxa"/>
            <w:tcBorders>
              <w:top w:val="nil"/>
              <w:left w:val="nil"/>
              <w:bottom w:val="single" w:sz="4" w:space="0" w:color="auto"/>
              <w:right w:val="single" w:sz="4" w:space="0" w:color="auto"/>
            </w:tcBorders>
            <w:shd w:val="clear" w:color="auto" w:fill="auto"/>
            <w:vAlign w:val="center"/>
          </w:tcPr>
          <w:p w14:paraId="5C7C2126" w14:textId="25A005EA" w:rsidR="00707F64" w:rsidRPr="009B2FAC" w:rsidRDefault="005C0567" w:rsidP="005C0567">
            <w:pPr>
              <w:jc w:val="center"/>
              <w:rPr>
                <w:szCs w:val="24"/>
                <w:lang w:eastAsia="en-GB"/>
              </w:rPr>
            </w:pPr>
            <w:r>
              <w:rPr>
                <w:rFonts w:eastAsia="Times New Roman" w:cs="Arial"/>
                <w:szCs w:val="24"/>
                <w:lang w:eastAsia="en-GB"/>
              </w:rPr>
              <w:t>33</w:t>
            </w:r>
            <w:r w:rsidR="007D23A9">
              <w:rPr>
                <w:rFonts w:eastAsia="Times New Roman" w:cs="Arial"/>
                <w:szCs w:val="24"/>
                <w:lang w:eastAsia="en-GB"/>
              </w:rPr>
              <w:t xml:space="preserve"> </w:t>
            </w:r>
            <w:proofErr w:type="spellStart"/>
            <w:r w:rsidR="007D23A9">
              <w:rPr>
                <w:rFonts w:eastAsia="Times New Roman" w:cs="Arial"/>
                <w:szCs w:val="24"/>
                <w:lang w:eastAsia="en-GB"/>
              </w:rPr>
              <w:t>dph</w:t>
            </w:r>
            <w:proofErr w:type="spellEnd"/>
          </w:p>
        </w:tc>
      </w:tr>
      <w:tr w:rsidR="00707F64" w:rsidRPr="00326F00" w14:paraId="6D15FEA7" w14:textId="77777777" w:rsidTr="00687CC4">
        <w:trPr>
          <w:cantSplit/>
          <w:trHeight w:val="708"/>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158FEE80" w14:textId="26F8CB97" w:rsidR="00707F64" w:rsidRPr="00EB73EF" w:rsidRDefault="00707F64" w:rsidP="008D1B26">
            <w:pPr>
              <w:rPr>
                <w:rFonts w:eastAsia="Times New Roman" w:cs="Arial"/>
                <w:b/>
                <w:color w:val="000000"/>
                <w:szCs w:val="24"/>
                <w:lang w:eastAsia="en-GB"/>
              </w:rPr>
            </w:pPr>
            <w:r w:rsidRPr="00EB73EF">
              <w:rPr>
                <w:rFonts w:eastAsia="Times New Roman" w:cs="Arial"/>
                <w:b/>
                <w:color w:val="000000"/>
                <w:szCs w:val="24"/>
                <w:lang w:eastAsia="en-GB"/>
              </w:rPr>
              <w:t>Higher density settlement</w:t>
            </w:r>
          </w:p>
          <w:p w14:paraId="133FB34F" w14:textId="33F36E62" w:rsidR="00687CC4" w:rsidRPr="00707F64" w:rsidRDefault="00707F64" w:rsidP="00707F64">
            <w:pPr>
              <w:pStyle w:val="NoSpacing"/>
              <w:rPr>
                <w:lang w:eastAsia="en-GB"/>
              </w:rPr>
            </w:pPr>
            <w:proofErr w:type="spellStart"/>
            <w:r w:rsidRPr="00707F64">
              <w:rPr>
                <w:lang w:eastAsia="en-GB"/>
              </w:rPr>
              <w:t>Bestwood</w:t>
            </w:r>
            <w:proofErr w:type="spellEnd"/>
            <w:r w:rsidRPr="00707F64">
              <w:rPr>
                <w:lang w:eastAsia="en-GB"/>
              </w:rPr>
              <w:t xml:space="preserve"> Village, Calverton and Newstead</w:t>
            </w:r>
          </w:p>
        </w:tc>
        <w:tc>
          <w:tcPr>
            <w:tcW w:w="1984" w:type="dxa"/>
            <w:tcBorders>
              <w:top w:val="nil"/>
              <w:left w:val="nil"/>
              <w:bottom w:val="single" w:sz="4" w:space="0" w:color="auto"/>
              <w:right w:val="single" w:sz="4" w:space="0" w:color="auto"/>
            </w:tcBorders>
            <w:shd w:val="clear" w:color="auto" w:fill="auto"/>
            <w:noWrap/>
            <w:vAlign w:val="center"/>
          </w:tcPr>
          <w:p w14:paraId="0DCEA40F" w14:textId="7F59D60B" w:rsidR="00707F64" w:rsidRPr="00FB24B7" w:rsidRDefault="005D3FAC" w:rsidP="005D3FAC">
            <w:pPr>
              <w:jc w:val="center"/>
              <w:rPr>
                <w:szCs w:val="24"/>
                <w:lang w:eastAsia="en-GB"/>
              </w:rPr>
            </w:pPr>
            <w:r>
              <w:rPr>
                <w:rFonts w:eastAsia="Times New Roman" w:cs="Arial"/>
                <w:szCs w:val="24"/>
                <w:lang w:eastAsia="en-GB"/>
              </w:rPr>
              <w:t>29</w:t>
            </w:r>
            <w:r w:rsidR="00AB704C">
              <w:rPr>
                <w:rFonts w:eastAsia="Times New Roman" w:cs="Arial"/>
                <w:szCs w:val="24"/>
                <w:lang w:eastAsia="en-GB"/>
              </w:rPr>
              <w:t xml:space="preserve"> </w:t>
            </w:r>
            <w:proofErr w:type="spellStart"/>
            <w:r w:rsidR="00AB704C">
              <w:rPr>
                <w:rFonts w:eastAsia="Times New Roman" w:cs="Arial"/>
                <w:szCs w:val="24"/>
                <w:lang w:eastAsia="en-GB"/>
              </w:rPr>
              <w:t>dph</w:t>
            </w:r>
            <w:proofErr w:type="spellEnd"/>
          </w:p>
        </w:tc>
        <w:tc>
          <w:tcPr>
            <w:tcW w:w="1985" w:type="dxa"/>
            <w:tcBorders>
              <w:top w:val="nil"/>
              <w:left w:val="nil"/>
              <w:bottom w:val="single" w:sz="4" w:space="0" w:color="auto"/>
              <w:right w:val="single" w:sz="4" w:space="0" w:color="auto"/>
            </w:tcBorders>
            <w:shd w:val="clear" w:color="auto" w:fill="auto"/>
            <w:vAlign w:val="center"/>
          </w:tcPr>
          <w:p w14:paraId="4B789C6E" w14:textId="6A4D798A" w:rsidR="00707F64" w:rsidRPr="009114D8" w:rsidRDefault="005C0567" w:rsidP="005C0567">
            <w:pPr>
              <w:pStyle w:val="NoSpacing"/>
              <w:jc w:val="center"/>
              <w:rPr>
                <w:lang w:eastAsia="en-GB"/>
              </w:rPr>
            </w:pPr>
            <w:r>
              <w:rPr>
                <w:rFonts w:eastAsia="Times New Roman" w:cs="Arial"/>
                <w:szCs w:val="24"/>
                <w:lang w:eastAsia="en-GB"/>
              </w:rPr>
              <w:t>2</w:t>
            </w:r>
            <w:r w:rsidR="00EF288E">
              <w:rPr>
                <w:rFonts w:eastAsia="Times New Roman" w:cs="Arial"/>
                <w:szCs w:val="24"/>
                <w:lang w:eastAsia="en-GB"/>
              </w:rPr>
              <w:t>8</w:t>
            </w:r>
            <w:r>
              <w:rPr>
                <w:rFonts w:eastAsia="Times New Roman" w:cs="Arial"/>
                <w:szCs w:val="24"/>
                <w:lang w:eastAsia="en-GB"/>
              </w:rPr>
              <w:t xml:space="preserve"> </w:t>
            </w:r>
            <w:proofErr w:type="spellStart"/>
            <w:r>
              <w:rPr>
                <w:rFonts w:eastAsia="Times New Roman" w:cs="Arial"/>
                <w:szCs w:val="24"/>
                <w:lang w:eastAsia="en-GB"/>
              </w:rPr>
              <w:t>dph</w:t>
            </w:r>
            <w:proofErr w:type="spellEnd"/>
          </w:p>
        </w:tc>
      </w:tr>
      <w:tr w:rsidR="00707F64" w:rsidRPr="00326F00" w14:paraId="0C275F07" w14:textId="77777777" w:rsidTr="00687CC4">
        <w:trPr>
          <w:cantSplit/>
          <w:trHeight w:val="1259"/>
        </w:trPr>
        <w:tc>
          <w:tcPr>
            <w:tcW w:w="4957" w:type="dxa"/>
            <w:tcBorders>
              <w:top w:val="nil"/>
              <w:left w:val="single" w:sz="4" w:space="0" w:color="auto"/>
              <w:bottom w:val="single" w:sz="4" w:space="0" w:color="auto"/>
              <w:right w:val="single" w:sz="4" w:space="0" w:color="auto"/>
            </w:tcBorders>
            <w:shd w:val="clear" w:color="auto" w:fill="auto"/>
            <w:noWrap/>
            <w:vAlign w:val="center"/>
            <w:hideMark/>
          </w:tcPr>
          <w:p w14:paraId="7FD72C93" w14:textId="75B31AF3" w:rsidR="00707F64" w:rsidRPr="00EB73EF" w:rsidRDefault="00707F64" w:rsidP="008D1B26">
            <w:pPr>
              <w:rPr>
                <w:rFonts w:eastAsia="Times New Roman" w:cs="Arial"/>
                <w:b/>
                <w:color w:val="000000"/>
                <w:szCs w:val="24"/>
                <w:lang w:eastAsia="en-GB"/>
              </w:rPr>
            </w:pPr>
            <w:r w:rsidRPr="00EB73EF">
              <w:rPr>
                <w:rFonts w:eastAsia="Times New Roman" w:cs="Arial"/>
                <w:b/>
                <w:color w:val="000000"/>
                <w:szCs w:val="24"/>
                <w:lang w:eastAsia="en-GB"/>
              </w:rPr>
              <w:t>Lower density settlement</w:t>
            </w:r>
          </w:p>
          <w:p w14:paraId="4BC4CC82" w14:textId="7C4277D6" w:rsidR="00707F64" w:rsidRPr="00707F64" w:rsidRDefault="00707F64" w:rsidP="00707F64">
            <w:pPr>
              <w:pStyle w:val="NoSpacing"/>
              <w:rPr>
                <w:lang w:eastAsia="en-GB"/>
              </w:rPr>
            </w:pPr>
            <w:r w:rsidRPr="00707F64">
              <w:rPr>
                <w:lang w:eastAsia="en-GB"/>
              </w:rPr>
              <w:t>Burton Joyce, Lambley, Linby, Papplewick, Ravenshead, Stoke Bardolph and Woodborough</w:t>
            </w:r>
          </w:p>
        </w:tc>
        <w:tc>
          <w:tcPr>
            <w:tcW w:w="1984" w:type="dxa"/>
            <w:tcBorders>
              <w:top w:val="nil"/>
              <w:left w:val="nil"/>
              <w:bottom w:val="single" w:sz="4" w:space="0" w:color="auto"/>
              <w:right w:val="single" w:sz="4" w:space="0" w:color="auto"/>
            </w:tcBorders>
            <w:shd w:val="clear" w:color="auto" w:fill="auto"/>
            <w:noWrap/>
            <w:vAlign w:val="center"/>
          </w:tcPr>
          <w:p w14:paraId="57E67B7B" w14:textId="393C86DD" w:rsidR="00707F64" w:rsidRPr="00326F00" w:rsidRDefault="005D3FAC" w:rsidP="005D3FAC">
            <w:pPr>
              <w:jc w:val="center"/>
              <w:rPr>
                <w:szCs w:val="24"/>
                <w:lang w:eastAsia="en-GB"/>
              </w:rPr>
            </w:pPr>
            <w:r>
              <w:rPr>
                <w:rFonts w:eastAsia="Times New Roman" w:cs="Arial"/>
                <w:szCs w:val="24"/>
                <w:lang w:eastAsia="en-GB"/>
              </w:rPr>
              <w:t>1</w:t>
            </w:r>
            <w:r w:rsidR="00EF288E">
              <w:rPr>
                <w:rFonts w:eastAsia="Times New Roman" w:cs="Arial"/>
                <w:szCs w:val="24"/>
                <w:lang w:eastAsia="en-GB"/>
              </w:rPr>
              <w:t>8</w:t>
            </w:r>
            <w:r w:rsidR="007D23A9">
              <w:rPr>
                <w:rFonts w:eastAsia="Times New Roman" w:cs="Arial"/>
                <w:szCs w:val="24"/>
                <w:lang w:eastAsia="en-GB"/>
              </w:rPr>
              <w:t xml:space="preserve"> </w:t>
            </w:r>
            <w:proofErr w:type="spellStart"/>
            <w:r w:rsidR="007D23A9">
              <w:rPr>
                <w:rFonts w:eastAsia="Times New Roman" w:cs="Arial"/>
                <w:szCs w:val="24"/>
                <w:lang w:eastAsia="en-GB"/>
              </w:rPr>
              <w:t>dph</w:t>
            </w:r>
            <w:proofErr w:type="spellEnd"/>
          </w:p>
        </w:tc>
        <w:tc>
          <w:tcPr>
            <w:tcW w:w="1985" w:type="dxa"/>
            <w:tcBorders>
              <w:top w:val="nil"/>
              <w:left w:val="nil"/>
              <w:bottom w:val="single" w:sz="4" w:space="0" w:color="auto"/>
              <w:right w:val="single" w:sz="4" w:space="0" w:color="auto"/>
            </w:tcBorders>
            <w:shd w:val="clear" w:color="auto" w:fill="auto"/>
            <w:vAlign w:val="center"/>
          </w:tcPr>
          <w:p w14:paraId="401BF8DF" w14:textId="0E188973" w:rsidR="00707F64" w:rsidRPr="00326F00" w:rsidRDefault="00AB704C" w:rsidP="00DE77F0">
            <w:pPr>
              <w:jc w:val="center"/>
              <w:rPr>
                <w:rFonts w:eastAsia="Times New Roman" w:cs="Arial"/>
                <w:szCs w:val="24"/>
                <w:lang w:eastAsia="en-GB"/>
              </w:rPr>
            </w:pPr>
            <w:r>
              <w:rPr>
                <w:rFonts w:eastAsia="Times New Roman" w:cs="Arial"/>
                <w:szCs w:val="24"/>
                <w:lang w:eastAsia="en-GB"/>
              </w:rPr>
              <w:t xml:space="preserve">20 </w:t>
            </w:r>
            <w:proofErr w:type="spellStart"/>
            <w:r>
              <w:rPr>
                <w:rFonts w:eastAsia="Times New Roman" w:cs="Arial"/>
                <w:szCs w:val="24"/>
                <w:lang w:eastAsia="en-GB"/>
              </w:rPr>
              <w:t>dp</w:t>
            </w:r>
            <w:r w:rsidR="00DE77F0">
              <w:rPr>
                <w:rFonts w:eastAsia="Times New Roman" w:cs="Arial"/>
                <w:szCs w:val="24"/>
                <w:lang w:eastAsia="en-GB"/>
              </w:rPr>
              <w:t>h</w:t>
            </w:r>
            <w:proofErr w:type="spellEnd"/>
            <w:r w:rsidR="00FF5623">
              <w:rPr>
                <w:rFonts w:eastAsia="Times New Roman" w:cs="Arial"/>
                <w:szCs w:val="24"/>
                <w:lang w:eastAsia="en-GB"/>
              </w:rPr>
              <w:t>*</w:t>
            </w:r>
          </w:p>
        </w:tc>
      </w:tr>
    </w:tbl>
    <w:p w14:paraId="76E964DD" w14:textId="4DDF8FF6" w:rsidR="00707F64" w:rsidRDefault="00FF5623" w:rsidP="00707F64">
      <w:pPr>
        <w:pStyle w:val="NoSpacing"/>
      </w:pPr>
      <w:r>
        <w:t>*</w:t>
      </w:r>
      <w:r w:rsidR="00707F64">
        <w:t xml:space="preserve"> </w:t>
      </w:r>
      <w:r w:rsidR="00AB704C">
        <w:t>No data available and density policy is used instead</w:t>
      </w:r>
      <w:r w:rsidR="00AB704C" w:rsidRPr="00AB704C">
        <w:t>.</w:t>
      </w:r>
    </w:p>
    <w:p w14:paraId="72CF71BC" w14:textId="77777777" w:rsidR="00707F64" w:rsidRDefault="00707F64" w:rsidP="00E30484">
      <w:pPr>
        <w:pStyle w:val="NoSpacing"/>
      </w:pPr>
    </w:p>
    <w:p w14:paraId="1B4B3874" w14:textId="48A7E8AC" w:rsidR="003919CF" w:rsidRPr="00E30484" w:rsidRDefault="00FF5623" w:rsidP="003919CF">
      <w:pPr>
        <w:pStyle w:val="NoSpacing"/>
        <w:rPr>
          <w:u w:val="single"/>
        </w:rPr>
      </w:pPr>
      <w:r>
        <w:rPr>
          <w:u w:val="single"/>
        </w:rPr>
        <w:t>Annotations:</w:t>
      </w:r>
    </w:p>
    <w:p w14:paraId="2FC1770F" w14:textId="77777777" w:rsidR="003919CF" w:rsidRDefault="003919CF" w:rsidP="003919CF">
      <w:pPr>
        <w:pStyle w:val="ListParagraph"/>
        <w:numPr>
          <w:ilvl w:val="0"/>
          <w:numId w:val="4"/>
        </w:numPr>
        <w:contextualSpacing w:val="0"/>
        <w:rPr>
          <w:szCs w:val="24"/>
        </w:rPr>
      </w:pPr>
      <w:r>
        <w:rPr>
          <w:szCs w:val="24"/>
        </w:rPr>
        <w:t>Gross figures used.</w:t>
      </w:r>
    </w:p>
    <w:p w14:paraId="28EACD01" w14:textId="620E9D0E" w:rsidR="00FF5623" w:rsidRDefault="00FF5623" w:rsidP="003919CF">
      <w:pPr>
        <w:pStyle w:val="ListParagraph"/>
        <w:numPr>
          <w:ilvl w:val="0"/>
          <w:numId w:val="4"/>
        </w:numPr>
        <w:contextualSpacing w:val="0"/>
        <w:rPr>
          <w:szCs w:val="24"/>
        </w:rPr>
      </w:pPr>
      <w:r>
        <w:rPr>
          <w:szCs w:val="24"/>
        </w:rPr>
        <w:t xml:space="preserve">Period includes 1 April 2011 </w:t>
      </w:r>
      <w:r w:rsidR="005A7062">
        <w:rPr>
          <w:szCs w:val="24"/>
        </w:rPr>
        <w:t xml:space="preserve">– </w:t>
      </w:r>
      <w:r>
        <w:rPr>
          <w:szCs w:val="24"/>
        </w:rPr>
        <w:t>31 March</w:t>
      </w:r>
      <w:r w:rsidR="006A433D">
        <w:rPr>
          <w:szCs w:val="24"/>
        </w:rPr>
        <w:t xml:space="preserve"> 202</w:t>
      </w:r>
      <w:r w:rsidR="00EF288E">
        <w:rPr>
          <w:szCs w:val="24"/>
        </w:rPr>
        <w:t>3</w:t>
      </w:r>
      <w:r>
        <w:rPr>
          <w:szCs w:val="24"/>
        </w:rPr>
        <w:t>.</w:t>
      </w:r>
    </w:p>
    <w:p w14:paraId="2C0147C7" w14:textId="2F975C88" w:rsidR="003919CF" w:rsidRDefault="003919CF" w:rsidP="003919CF">
      <w:pPr>
        <w:pStyle w:val="ListParagraph"/>
        <w:numPr>
          <w:ilvl w:val="0"/>
          <w:numId w:val="4"/>
        </w:numPr>
        <w:contextualSpacing w:val="0"/>
        <w:rPr>
          <w:szCs w:val="24"/>
        </w:rPr>
      </w:pPr>
      <w:r>
        <w:rPr>
          <w:szCs w:val="24"/>
        </w:rPr>
        <w:t xml:space="preserve">Includes sites for 10+ new build </w:t>
      </w:r>
      <w:r w:rsidR="006A433D">
        <w:rPr>
          <w:szCs w:val="24"/>
        </w:rPr>
        <w:t xml:space="preserve">houses </w:t>
      </w:r>
      <w:r>
        <w:rPr>
          <w:szCs w:val="24"/>
        </w:rPr>
        <w:t xml:space="preserve">with full/reserved matters permission granted </w:t>
      </w:r>
      <w:r w:rsidR="00FF5623">
        <w:rPr>
          <w:szCs w:val="24"/>
        </w:rPr>
        <w:t>during the</w:t>
      </w:r>
      <w:r w:rsidR="0014755F">
        <w:rPr>
          <w:szCs w:val="24"/>
        </w:rPr>
        <w:t xml:space="preserve"> above</w:t>
      </w:r>
      <w:r w:rsidR="00FF5623">
        <w:rPr>
          <w:szCs w:val="24"/>
        </w:rPr>
        <w:t xml:space="preserve"> period</w:t>
      </w:r>
      <w:r>
        <w:rPr>
          <w:szCs w:val="24"/>
        </w:rPr>
        <w:t>.</w:t>
      </w:r>
    </w:p>
    <w:p w14:paraId="4361493C" w14:textId="370B112D" w:rsidR="003919CF" w:rsidRDefault="003919CF" w:rsidP="003919CF">
      <w:pPr>
        <w:pStyle w:val="ListParagraph"/>
        <w:numPr>
          <w:ilvl w:val="0"/>
          <w:numId w:val="5"/>
        </w:numPr>
        <w:contextualSpacing w:val="0"/>
        <w:rPr>
          <w:b/>
          <w:bCs/>
          <w:szCs w:val="24"/>
        </w:rPr>
      </w:pPr>
      <w:r>
        <w:rPr>
          <w:szCs w:val="24"/>
        </w:rPr>
        <w:t>Excludes small sites for up to 9</w:t>
      </w:r>
      <w:r w:rsidR="005C0567">
        <w:rPr>
          <w:szCs w:val="24"/>
        </w:rPr>
        <w:t xml:space="preserve"> houses</w:t>
      </w:r>
      <w:r w:rsidR="00240F55">
        <w:rPr>
          <w:szCs w:val="24"/>
        </w:rPr>
        <w:t>.</w:t>
      </w:r>
    </w:p>
    <w:p w14:paraId="2F40D45A" w14:textId="19AEAD94" w:rsidR="00FF5623" w:rsidRPr="004C0BC9" w:rsidRDefault="00FF5623" w:rsidP="005F46D7">
      <w:pPr>
        <w:pStyle w:val="ListParagraph"/>
        <w:numPr>
          <w:ilvl w:val="0"/>
          <w:numId w:val="4"/>
        </w:numPr>
        <w:contextualSpacing w:val="0"/>
        <w:rPr>
          <w:szCs w:val="24"/>
        </w:rPr>
      </w:pPr>
      <w:r w:rsidRPr="004C0BC9">
        <w:rPr>
          <w:szCs w:val="24"/>
        </w:rPr>
        <w:t xml:space="preserve">Excludes outline </w:t>
      </w:r>
      <w:r w:rsidR="004C0BC9" w:rsidRPr="004C0BC9">
        <w:rPr>
          <w:szCs w:val="24"/>
        </w:rPr>
        <w:t>and</w:t>
      </w:r>
      <w:r w:rsidRPr="004C0BC9">
        <w:rPr>
          <w:szCs w:val="24"/>
        </w:rPr>
        <w:t xml:space="preserve"> superseded permissions.</w:t>
      </w:r>
    </w:p>
    <w:p w14:paraId="06435F30" w14:textId="77777777" w:rsidR="003919CF" w:rsidRDefault="003919CF" w:rsidP="003919CF">
      <w:pPr>
        <w:pStyle w:val="ListParagraph"/>
        <w:numPr>
          <w:ilvl w:val="0"/>
          <w:numId w:val="4"/>
        </w:numPr>
        <w:contextualSpacing w:val="0"/>
        <w:rPr>
          <w:szCs w:val="24"/>
        </w:rPr>
      </w:pPr>
      <w:r>
        <w:rPr>
          <w:szCs w:val="24"/>
        </w:rPr>
        <w:t>Excludes conversion and change of use dwellings.</w:t>
      </w:r>
    </w:p>
    <w:p w14:paraId="1159C8C2" w14:textId="77777777" w:rsidR="00FF5623" w:rsidRDefault="00FF5623" w:rsidP="00FF5623">
      <w:pPr>
        <w:pStyle w:val="ListParagraph"/>
        <w:numPr>
          <w:ilvl w:val="0"/>
          <w:numId w:val="4"/>
        </w:numPr>
        <w:contextualSpacing w:val="0"/>
        <w:rPr>
          <w:szCs w:val="24"/>
        </w:rPr>
      </w:pPr>
      <w:r>
        <w:rPr>
          <w:szCs w:val="24"/>
        </w:rPr>
        <w:t>Excludes sites with mixed new build and conversion/change of use dwellings.</w:t>
      </w:r>
    </w:p>
    <w:p w14:paraId="0413BCA0" w14:textId="77777777" w:rsidR="00DE77F0" w:rsidRDefault="00A27E8A" w:rsidP="00DE77F0">
      <w:pPr>
        <w:pStyle w:val="ListParagraph"/>
        <w:numPr>
          <w:ilvl w:val="0"/>
          <w:numId w:val="4"/>
        </w:numPr>
        <w:contextualSpacing w:val="0"/>
        <w:rPr>
          <w:szCs w:val="24"/>
        </w:rPr>
      </w:pPr>
      <w:r w:rsidRPr="00A27E8A">
        <w:rPr>
          <w:szCs w:val="24"/>
        </w:rPr>
        <w:t xml:space="preserve">Excludes </w:t>
      </w:r>
      <w:r w:rsidR="00FF5623">
        <w:rPr>
          <w:szCs w:val="24"/>
        </w:rPr>
        <w:t xml:space="preserve">sites for </w:t>
      </w:r>
      <w:r>
        <w:rPr>
          <w:szCs w:val="24"/>
        </w:rPr>
        <w:t>flats</w:t>
      </w:r>
      <w:r w:rsidR="007D23A9">
        <w:rPr>
          <w:szCs w:val="24"/>
        </w:rPr>
        <w:t xml:space="preserve"> or mixed schemes (houses and flats).</w:t>
      </w:r>
    </w:p>
    <w:p w14:paraId="690025DB" w14:textId="77777777" w:rsidR="001E0E5D" w:rsidRDefault="003919CF" w:rsidP="00DE77F0">
      <w:pPr>
        <w:pStyle w:val="ListParagraph"/>
        <w:numPr>
          <w:ilvl w:val="0"/>
          <w:numId w:val="4"/>
        </w:numPr>
        <w:contextualSpacing w:val="0"/>
        <w:rPr>
          <w:szCs w:val="24"/>
        </w:rPr>
      </w:pPr>
      <w:r w:rsidRPr="00DE77F0">
        <w:rPr>
          <w:szCs w:val="24"/>
        </w:rPr>
        <w:t>Exclude</w:t>
      </w:r>
      <w:r w:rsidR="00FF5623" w:rsidRPr="00DE77F0">
        <w:rPr>
          <w:szCs w:val="24"/>
        </w:rPr>
        <w:t>s</w:t>
      </w:r>
      <w:r w:rsidRPr="00DE77F0">
        <w:rPr>
          <w:szCs w:val="24"/>
        </w:rPr>
        <w:t xml:space="preserve"> allocated sites without planning permission.</w:t>
      </w:r>
    </w:p>
    <w:p w14:paraId="09882B7B" w14:textId="77777777" w:rsidR="001E0E5D" w:rsidRDefault="001E0E5D" w:rsidP="001E0E5D"/>
    <w:p w14:paraId="123AAB92" w14:textId="6994B8F3" w:rsidR="00AE5CCE" w:rsidRPr="001E0E5D" w:rsidRDefault="00AE5CCE" w:rsidP="001E0E5D">
      <w:pPr>
        <w:rPr>
          <w:szCs w:val="24"/>
        </w:rPr>
      </w:pPr>
      <w:r>
        <w:br w:type="page"/>
      </w:r>
    </w:p>
    <w:p w14:paraId="6FD4C2CC" w14:textId="77777777" w:rsidR="00AE5CCE" w:rsidRDefault="00AE5CCE" w:rsidP="00487894">
      <w:pPr>
        <w:pStyle w:val="Heading1"/>
      </w:pPr>
      <w:bookmarkStart w:id="3" w:name="_Toc42681242"/>
      <w:r w:rsidRPr="00EC13D8">
        <w:lastRenderedPageBreak/>
        <w:t>Lead-in times and build-out rates</w:t>
      </w:r>
      <w:bookmarkEnd w:id="3"/>
    </w:p>
    <w:p w14:paraId="5042063E" w14:textId="0F7F2442" w:rsidR="00AE5CCE" w:rsidRDefault="00AE5CCE"/>
    <w:p w14:paraId="35B31152" w14:textId="3659CEF9" w:rsidR="00DE77F0" w:rsidRDefault="00DE77F0" w:rsidP="00DE77F0">
      <w:pPr>
        <w:pStyle w:val="NoSpacing"/>
      </w:pPr>
      <w:r>
        <w:t>See paragraphs 35</w:t>
      </w:r>
      <w:r w:rsidR="00B004CF">
        <w:t>-</w:t>
      </w:r>
      <w:r>
        <w:t>40 of the joint SHLAA m</w:t>
      </w:r>
      <w:r w:rsidRPr="002D0A11">
        <w:t xml:space="preserve">ethodology </w:t>
      </w:r>
      <w:r>
        <w:t>report.</w:t>
      </w:r>
    </w:p>
    <w:p w14:paraId="1B9EA5AF" w14:textId="77777777" w:rsidR="002D0A11" w:rsidRPr="002D0A11" w:rsidRDefault="002D0A11" w:rsidP="002D0A11">
      <w:pPr>
        <w:pStyle w:val="NoSpacing"/>
      </w:pPr>
    </w:p>
    <w:p w14:paraId="2B2E3775" w14:textId="19783EA9" w:rsidR="008E1196" w:rsidRDefault="005F46D7" w:rsidP="008D1B26">
      <w:pPr>
        <w:pStyle w:val="NoSpacing"/>
      </w:pPr>
      <w:r>
        <w:t>In order to</w:t>
      </w:r>
      <w:r w:rsidR="008D1B26">
        <w:t xml:space="preserve"> establish </w:t>
      </w:r>
      <w:r>
        <w:t xml:space="preserve">assumptions for </w:t>
      </w:r>
      <w:r w:rsidR="008D1B26">
        <w:t>lead-in times</w:t>
      </w:r>
      <w:r w:rsidR="008D1B26" w:rsidRPr="008D1B26">
        <w:t xml:space="preserve"> </w:t>
      </w:r>
      <w:r w:rsidR="0014755F">
        <w:t>and build-out rates</w:t>
      </w:r>
      <w:r>
        <w:t>, work has been</w:t>
      </w:r>
      <w:r w:rsidR="0014755F">
        <w:t xml:space="preserve"> </w:t>
      </w:r>
      <w:r w:rsidR="008D1B26">
        <w:t xml:space="preserve">undertaken to </w:t>
      </w:r>
      <w:r>
        <w:t>identify</w:t>
      </w:r>
      <w:r w:rsidR="005D67FB">
        <w:t xml:space="preserve"> </w:t>
      </w:r>
      <w:r w:rsidR="008D1B26">
        <w:t xml:space="preserve">the </w:t>
      </w:r>
      <w:r w:rsidR="008D1B26" w:rsidRPr="00AE5CCE">
        <w:rPr>
          <w:szCs w:val="24"/>
        </w:rPr>
        <w:t xml:space="preserve">average period between </w:t>
      </w:r>
      <w:r w:rsidR="008D1B26">
        <w:rPr>
          <w:szCs w:val="24"/>
        </w:rPr>
        <w:t xml:space="preserve">types of </w:t>
      </w:r>
      <w:r w:rsidR="008D1B26" w:rsidRPr="00AE5CCE">
        <w:rPr>
          <w:szCs w:val="24"/>
        </w:rPr>
        <w:t>permission and</w:t>
      </w:r>
      <w:r>
        <w:rPr>
          <w:szCs w:val="24"/>
        </w:rPr>
        <w:t xml:space="preserve"> the commencement of work on site</w:t>
      </w:r>
      <w:r w:rsidR="008D1B26" w:rsidRPr="00AE5CCE">
        <w:rPr>
          <w:szCs w:val="24"/>
        </w:rPr>
        <w:t xml:space="preserve"> work</w:t>
      </w:r>
      <w:r w:rsidR="0014755F">
        <w:rPr>
          <w:szCs w:val="24"/>
        </w:rPr>
        <w:t xml:space="preserve"> </w:t>
      </w:r>
      <w:r w:rsidR="0014755F" w:rsidRPr="00AE5CCE">
        <w:rPr>
          <w:szCs w:val="24"/>
        </w:rPr>
        <w:t>and</w:t>
      </w:r>
      <w:r>
        <w:rPr>
          <w:szCs w:val="24"/>
        </w:rPr>
        <w:t xml:space="preserve"> also to identify</w:t>
      </w:r>
      <w:r w:rsidR="0014755F" w:rsidRPr="00AE5CCE">
        <w:rPr>
          <w:szCs w:val="24"/>
        </w:rPr>
        <w:t xml:space="preserve"> the average numb</w:t>
      </w:r>
      <w:r w:rsidR="0014755F">
        <w:rPr>
          <w:szCs w:val="24"/>
        </w:rPr>
        <w:t>er of dwellings built per year</w:t>
      </w:r>
      <w:r>
        <w:rPr>
          <w:szCs w:val="24"/>
        </w:rPr>
        <w:t xml:space="preserve"> once development has commenced</w:t>
      </w:r>
      <w:r w:rsidR="008E1196">
        <w:t>.</w:t>
      </w:r>
      <w:r w:rsidR="00FE3D90">
        <w:t xml:space="preserve">  The period from April 2011 has been used to reflect the start date of the adopted Local Plan</w:t>
      </w:r>
      <w:r w:rsidR="005D67FB">
        <w:t xml:space="preserve"> period</w:t>
      </w:r>
      <w:r w:rsidR="00FE3D90">
        <w:t>.</w:t>
      </w:r>
    </w:p>
    <w:p w14:paraId="5920B07A" w14:textId="77777777" w:rsidR="008E1196" w:rsidRDefault="008E1196" w:rsidP="008D1B26">
      <w:pPr>
        <w:pStyle w:val="NoSpacing"/>
      </w:pPr>
    </w:p>
    <w:p w14:paraId="12061910" w14:textId="65AC1AF1" w:rsidR="0014755F" w:rsidRPr="00312415" w:rsidRDefault="008D1B26" w:rsidP="0014755F">
      <w:pPr>
        <w:pStyle w:val="NoSpacing"/>
        <w:rPr>
          <w:szCs w:val="24"/>
        </w:rPr>
      </w:pPr>
      <w:r w:rsidRPr="00312415">
        <w:t>The table</w:t>
      </w:r>
      <w:r w:rsidR="008A78C0">
        <w:t>s</w:t>
      </w:r>
      <w:r w:rsidRPr="00312415">
        <w:t xml:space="preserve"> </w:t>
      </w:r>
      <w:r w:rsidR="0014755F" w:rsidRPr="00312415">
        <w:t xml:space="preserve">below </w:t>
      </w:r>
      <w:r w:rsidRPr="00312415">
        <w:rPr>
          <w:szCs w:val="24"/>
        </w:rPr>
        <w:t>show</w:t>
      </w:r>
      <w:r w:rsidR="008E1196" w:rsidRPr="00312415">
        <w:rPr>
          <w:szCs w:val="24"/>
        </w:rPr>
        <w:t>,</w:t>
      </w:r>
      <w:r w:rsidRPr="00312415">
        <w:rPr>
          <w:szCs w:val="24"/>
        </w:rPr>
        <w:t xml:space="preserve"> for the period 1 April 2011 </w:t>
      </w:r>
      <w:r w:rsidR="005A7062">
        <w:rPr>
          <w:szCs w:val="24"/>
        </w:rPr>
        <w:t xml:space="preserve">– </w:t>
      </w:r>
      <w:r w:rsidRPr="00312415">
        <w:rPr>
          <w:szCs w:val="24"/>
        </w:rPr>
        <w:t>31 March</w:t>
      </w:r>
      <w:r w:rsidR="00C743C7">
        <w:rPr>
          <w:szCs w:val="24"/>
        </w:rPr>
        <w:t xml:space="preserve"> </w:t>
      </w:r>
      <w:r w:rsidR="00AF659F">
        <w:rPr>
          <w:szCs w:val="24"/>
        </w:rPr>
        <w:t>202</w:t>
      </w:r>
      <w:r w:rsidR="00EF288E">
        <w:rPr>
          <w:szCs w:val="24"/>
        </w:rPr>
        <w:t>3</w:t>
      </w:r>
      <w:r w:rsidRPr="00312415">
        <w:rPr>
          <w:szCs w:val="24"/>
        </w:rPr>
        <w:t>,</w:t>
      </w:r>
      <w:r w:rsidR="00FE3D90" w:rsidRPr="00312415" w:rsidDel="00FE3D90">
        <w:rPr>
          <w:szCs w:val="24"/>
        </w:rPr>
        <w:t xml:space="preserve"> </w:t>
      </w:r>
      <w:r w:rsidRPr="00312415">
        <w:rPr>
          <w:szCs w:val="24"/>
        </w:rPr>
        <w:t xml:space="preserve">the average period between </w:t>
      </w:r>
      <w:r w:rsidR="00312415" w:rsidRPr="00312415">
        <w:rPr>
          <w:szCs w:val="24"/>
        </w:rPr>
        <w:t xml:space="preserve">both outline and full planning permission being granted </w:t>
      </w:r>
      <w:r w:rsidRPr="00312415">
        <w:rPr>
          <w:szCs w:val="24"/>
        </w:rPr>
        <w:t xml:space="preserve">and construction work </w:t>
      </w:r>
      <w:r w:rsidR="00312415" w:rsidRPr="00312415">
        <w:rPr>
          <w:szCs w:val="24"/>
        </w:rPr>
        <w:t xml:space="preserve">commencing on site </w:t>
      </w:r>
      <w:r w:rsidR="008E1196" w:rsidRPr="00312415">
        <w:rPr>
          <w:szCs w:val="24"/>
        </w:rPr>
        <w:t xml:space="preserve">(lead-in times) </w:t>
      </w:r>
      <w:r w:rsidRPr="00312415">
        <w:rPr>
          <w:szCs w:val="24"/>
        </w:rPr>
        <w:t>and the average number of dwellings built per year</w:t>
      </w:r>
      <w:r w:rsidR="008E1196" w:rsidRPr="00312415">
        <w:rPr>
          <w:szCs w:val="24"/>
        </w:rPr>
        <w:t xml:space="preserve"> (build-out rates)</w:t>
      </w:r>
      <w:r w:rsidR="0014755F" w:rsidRPr="00312415">
        <w:rPr>
          <w:szCs w:val="24"/>
        </w:rPr>
        <w:t xml:space="preserve">.  </w:t>
      </w:r>
      <w:r w:rsidR="00312415" w:rsidRPr="00312415">
        <w:rPr>
          <w:szCs w:val="24"/>
        </w:rPr>
        <w:t xml:space="preserve">All </w:t>
      </w:r>
      <w:r w:rsidRPr="00312415">
        <w:rPr>
          <w:szCs w:val="24"/>
        </w:rPr>
        <w:t xml:space="preserve">schemes </w:t>
      </w:r>
      <w:r w:rsidR="00312415" w:rsidRPr="00312415">
        <w:rPr>
          <w:szCs w:val="24"/>
        </w:rPr>
        <w:t>have bee</w:t>
      </w:r>
      <w:r w:rsidR="005D67FB">
        <w:rPr>
          <w:szCs w:val="24"/>
        </w:rPr>
        <w:t xml:space="preserve">n </w:t>
      </w:r>
      <w:r w:rsidRPr="00312415">
        <w:rPr>
          <w:szCs w:val="24"/>
        </w:rPr>
        <w:t xml:space="preserve">developed by </w:t>
      </w:r>
      <w:r w:rsidR="00312415" w:rsidRPr="00312415">
        <w:rPr>
          <w:szCs w:val="24"/>
        </w:rPr>
        <w:t xml:space="preserve">a single </w:t>
      </w:r>
      <w:r w:rsidRPr="00312415">
        <w:rPr>
          <w:szCs w:val="24"/>
        </w:rPr>
        <w:t>developer</w:t>
      </w:r>
      <w:r w:rsidR="00312415" w:rsidRPr="00312415">
        <w:rPr>
          <w:szCs w:val="24"/>
        </w:rPr>
        <w:t>.</w:t>
      </w:r>
    </w:p>
    <w:p w14:paraId="37EAE003" w14:textId="77777777" w:rsidR="0014755F" w:rsidRPr="00312415" w:rsidRDefault="0014755F" w:rsidP="0014755F">
      <w:pPr>
        <w:pStyle w:val="NoSpacing"/>
        <w:rPr>
          <w:szCs w:val="24"/>
          <w:highlight w:val="yellow"/>
        </w:rPr>
      </w:pPr>
    </w:p>
    <w:p w14:paraId="3AEAF880" w14:textId="413E6A22" w:rsidR="0014755F" w:rsidRPr="0014755F" w:rsidRDefault="00312415" w:rsidP="0014755F">
      <w:pPr>
        <w:pStyle w:val="NoSpacing"/>
      </w:pPr>
      <w:r w:rsidRPr="00312415">
        <w:rPr>
          <w:szCs w:val="24"/>
        </w:rPr>
        <w:t xml:space="preserve">To calculate the </w:t>
      </w:r>
      <w:r w:rsidR="0014755F" w:rsidRPr="00312415">
        <w:rPr>
          <w:szCs w:val="24"/>
        </w:rPr>
        <w:t xml:space="preserve">average </w:t>
      </w:r>
      <w:r w:rsidRPr="00312415">
        <w:rPr>
          <w:szCs w:val="24"/>
        </w:rPr>
        <w:t xml:space="preserve">time </w:t>
      </w:r>
      <w:r w:rsidR="0014755F" w:rsidRPr="00312415">
        <w:rPr>
          <w:szCs w:val="24"/>
        </w:rPr>
        <w:t>for construction work to start after permission</w:t>
      </w:r>
      <w:r w:rsidRPr="00312415">
        <w:rPr>
          <w:szCs w:val="24"/>
        </w:rPr>
        <w:t xml:space="preserve"> has been</w:t>
      </w:r>
      <w:r w:rsidR="0014755F" w:rsidRPr="00312415">
        <w:rPr>
          <w:szCs w:val="24"/>
        </w:rPr>
        <w:t xml:space="preserve"> granted, the </w:t>
      </w:r>
      <w:r w:rsidRPr="00312415">
        <w:rPr>
          <w:szCs w:val="24"/>
        </w:rPr>
        <w:t xml:space="preserve">time has been rounded to the nearest whole </w:t>
      </w:r>
      <w:r w:rsidR="005D67FB">
        <w:rPr>
          <w:szCs w:val="24"/>
        </w:rPr>
        <w:t xml:space="preserve">financial </w:t>
      </w:r>
      <w:r w:rsidRPr="00312415">
        <w:rPr>
          <w:szCs w:val="24"/>
        </w:rPr>
        <w:t>year</w:t>
      </w:r>
      <w:r w:rsidR="005D67FB">
        <w:rPr>
          <w:szCs w:val="24"/>
        </w:rPr>
        <w:t xml:space="preserve"> </w:t>
      </w:r>
      <w:r w:rsidR="00C37498">
        <w:rPr>
          <w:szCs w:val="24"/>
        </w:rPr>
        <w:t xml:space="preserve">(i.e. April to March) </w:t>
      </w:r>
      <w:r w:rsidR="0014755F" w:rsidRPr="00312415">
        <w:rPr>
          <w:szCs w:val="24"/>
        </w:rPr>
        <w:t xml:space="preserve">and the commencement date of the first plot </w:t>
      </w:r>
      <w:r w:rsidRPr="00312415">
        <w:rPr>
          <w:szCs w:val="24"/>
        </w:rPr>
        <w:t xml:space="preserve">has been </w:t>
      </w:r>
      <w:r w:rsidR="0014755F" w:rsidRPr="00312415">
        <w:rPr>
          <w:szCs w:val="24"/>
        </w:rPr>
        <w:t xml:space="preserve">used e.g. if permission granted in May 2017 and the first plot </w:t>
      </w:r>
      <w:r w:rsidRPr="00312415">
        <w:rPr>
          <w:szCs w:val="24"/>
        </w:rPr>
        <w:t xml:space="preserve">commenced </w:t>
      </w:r>
      <w:r w:rsidR="0014755F" w:rsidRPr="00312415">
        <w:rPr>
          <w:szCs w:val="24"/>
        </w:rPr>
        <w:t>December 2018</w:t>
      </w:r>
      <w:r w:rsidRPr="00312415">
        <w:rPr>
          <w:szCs w:val="24"/>
        </w:rPr>
        <w:t>, the lead</w:t>
      </w:r>
      <w:r w:rsidR="005D67FB">
        <w:rPr>
          <w:szCs w:val="24"/>
        </w:rPr>
        <w:t>-in time is given as one year.</w:t>
      </w:r>
    </w:p>
    <w:p w14:paraId="49A587D9" w14:textId="651D12BC" w:rsidR="0014755F" w:rsidRDefault="0014755F" w:rsidP="00AE5CCE">
      <w:pPr>
        <w:pStyle w:val="NoSpacing"/>
      </w:pPr>
    </w:p>
    <w:tbl>
      <w:tblPr>
        <w:tblW w:w="9067" w:type="dxa"/>
        <w:tblLayout w:type="fixed"/>
        <w:tblLook w:val="04A0" w:firstRow="1" w:lastRow="0" w:firstColumn="1" w:lastColumn="0" w:noHBand="0" w:noVBand="1"/>
        <w:tblCaption w:val="Lead-in times and build-out rates table"/>
        <w:tblDescription w:val="The table provides data on average years for work to start on sites with outline and full planning permission and average dwellings built per year for new build, conversion and change of use. The data is split between small, medium and large sites."/>
      </w:tblPr>
      <w:tblGrid>
        <w:gridCol w:w="2972"/>
        <w:gridCol w:w="1523"/>
        <w:gridCol w:w="1524"/>
        <w:gridCol w:w="1524"/>
        <w:gridCol w:w="1524"/>
      </w:tblGrid>
      <w:tr w:rsidR="00362561" w:rsidRPr="00391FF8" w14:paraId="2237B2EC" w14:textId="77777777" w:rsidTr="00362561">
        <w:trPr>
          <w:trHeight w:val="467"/>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C19BA25" w14:textId="014C17B5" w:rsidR="00362561" w:rsidRPr="00312415" w:rsidRDefault="00362561" w:rsidP="003C7935">
            <w:pPr>
              <w:rPr>
                <w:rFonts w:eastAsia="Times New Roman" w:cs="Arial"/>
                <w:b/>
                <w:bCs/>
                <w:szCs w:val="24"/>
                <w:lang w:eastAsia="en-GB"/>
              </w:rPr>
            </w:pPr>
          </w:p>
        </w:tc>
        <w:tc>
          <w:tcPr>
            <w:tcW w:w="1523" w:type="dxa"/>
            <w:tcBorders>
              <w:top w:val="single" w:sz="4" w:space="0" w:color="auto"/>
              <w:left w:val="nil"/>
              <w:bottom w:val="single" w:sz="4" w:space="0" w:color="auto"/>
              <w:right w:val="single" w:sz="4" w:space="0" w:color="auto"/>
            </w:tcBorders>
            <w:shd w:val="clear" w:color="auto" w:fill="auto"/>
          </w:tcPr>
          <w:p w14:paraId="255A1139" w14:textId="3E1F904B" w:rsidR="00362561" w:rsidRPr="00764234" w:rsidRDefault="00362561" w:rsidP="005F5674">
            <w:pPr>
              <w:rPr>
                <w:rFonts w:eastAsia="Times New Roman" w:cs="Arial"/>
                <w:bCs/>
                <w:szCs w:val="24"/>
                <w:lang w:eastAsia="en-GB"/>
              </w:rPr>
            </w:pPr>
            <w:r w:rsidRPr="00764234">
              <w:rPr>
                <w:rFonts w:eastAsia="Times New Roman" w:cs="Arial"/>
                <w:bCs/>
                <w:szCs w:val="24"/>
                <w:lang w:eastAsia="en-GB"/>
              </w:rPr>
              <w:t>Number of sites</w:t>
            </w:r>
            <w:r w:rsidR="005F5674">
              <w:rPr>
                <w:rFonts w:eastAsia="Times New Roman" w:cs="Arial"/>
                <w:bCs/>
                <w:szCs w:val="24"/>
                <w:lang w:eastAsia="en-GB"/>
              </w:rPr>
              <w:t xml:space="preserve"> with outline and full permission</w:t>
            </w:r>
          </w:p>
        </w:tc>
        <w:tc>
          <w:tcPr>
            <w:tcW w:w="1524" w:type="dxa"/>
            <w:tcBorders>
              <w:top w:val="single" w:sz="4" w:space="0" w:color="auto"/>
              <w:left w:val="nil"/>
              <w:bottom w:val="single" w:sz="4" w:space="0" w:color="auto"/>
              <w:right w:val="single" w:sz="4" w:space="0" w:color="auto"/>
            </w:tcBorders>
            <w:shd w:val="clear" w:color="auto" w:fill="auto"/>
          </w:tcPr>
          <w:p w14:paraId="67885BDE" w14:textId="77777777" w:rsidR="00362561" w:rsidRPr="00764234" w:rsidRDefault="00362561" w:rsidP="003C7935">
            <w:pPr>
              <w:jc w:val="center"/>
              <w:rPr>
                <w:rFonts w:eastAsia="Times New Roman" w:cs="Arial"/>
                <w:bCs/>
                <w:szCs w:val="24"/>
                <w:u w:val="single"/>
                <w:lang w:eastAsia="en-GB"/>
              </w:rPr>
            </w:pPr>
            <w:r w:rsidRPr="00764234">
              <w:rPr>
                <w:rFonts w:eastAsia="Times New Roman" w:cs="Arial"/>
                <w:bCs/>
                <w:szCs w:val="24"/>
                <w:u w:val="single"/>
                <w:lang w:eastAsia="en-GB"/>
              </w:rPr>
              <w:t>Lead-in times</w:t>
            </w:r>
          </w:p>
          <w:p w14:paraId="43FDEC27" w14:textId="24B6D6FC" w:rsidR="00362561" w:rsidRPr="00764234" w:rsidRDefault="00362561" w:rsidP="00D70CC8">
            <w:pPr>
              <w:jc w:val="center"/>
              <w:rPr>
                <w:rFonts w:eastAsia="Times New Roman" w:cs="Arial"/>
                <w:bCs/>
                <w:szCs w:val="24"/>
                <w:u w:val="single"/>
                <w:lang w:eastAsia="en-GB"/>
              </w:rPr>
            </w:pPr>
            <w:r w:rsidRPr="00764234">
              <w:rPr>
                <w:rFonts w:eastAsia="Times New Roman" w:cs="Arial"/>
                <w:bCs/>
                <w:szCs w:val="24"/>
                <w:lang w:eastAsia="en-GB"/>
              </w:rPr>
              <w:t>Average years for work to start on site</w:t>
            </w:r>
            <w:r w:rsidR="00D70CC8" w:rsidRPr="00764234">
              <w:rPr>
                <w:rFonts w:eastAsia="Times New Roman" w:cs="Arial"/>
                <w:bCs/>
                <w:szCs w:val="24"/>
                <w:lang w:eastAsia="en-GB"/>
              </w:rPr>
              <w:t>s</w:t>
            </w:r>
            <w:r w:rsidRPr="00764234">
              <w:rPr>
                <w:rFonts w:eastAsia="Times New Roman" w:cs="Arial"/>
                <w:bCs/>
                <w:szCs w:val="24"/>
                <w:lang w:eastAsia="en-GB"/>
              </w:rPr>
              <w:t xml:space="preserve"> with outline permission</w:t>
            </w:r>
          </w:p>
        </w:tc>
        <w:tc>
          <w:tcPr>
            <w:tcW w:w="1524" w:type="dxa"/>
            <w:tcBorders>
              <w:top w:val="single" w:sz="4" w:space="0" w:color="auto"/>
              <w:left w:val="nil"/>
              <w:bottom w:val="single" w:sz="4" w:space="0" w:color="auto"/>
              <w:right w:val="single" w:sz="4" w:space="0" w:color="auto"/>
            </w:tcBorders>
            <w:shd w:val="clear" w:color="auto" w:fill="auto"/>
          </w:tcPr>
          <w:p w14:paraId="4E0FD7C7" w14:textId="77777777" w:rsidR="00362561" w:rsidRPr="00764234" w:rsidRDefault="00362561" w:rsidP="00362561">
            <w:pPr>
              <w:jc w:val="center"/>
              <w:rPr>
                <w:rFonts w:eastAsia="Times New Roman" w:cs="Arial"/>
                <w:bCs/>
                <w:szCs w:val="24"/>
                <w:u w:val="single"/>
                <w:lang w:eastAsia="en-GB"/>
              </w:rPr>
            </w:pPr>
            <w:r w:rsidRPr="00764234">
              <w:rPr>
                <w:rFonts w:eastAsia="Times New Roman" w:cs="Arial"/>
                <w:bCs/>
                <w:szCs w:val="24"/>
                <w:u w:val="single"/>
                <w:lang w:eastAsia="en-GB"/>
              </w:rPr>
              <w:t>Lead-in times</w:t>
            </w:r>
          </w:p>
          <w:p w14:paraId="2CCCC1E1" w14:textId="61988106" w:rsidR="00362561" w:rsidRPr="00764234" w:rsidRDefault="00362561" w:rsidP="00D70CC8">
            <w:pPr>
              <w:jc w:val="center"/>
              <w:rPr>
                <w:rFonts w:eastAsia="Times New Roman" w:cs="Arial"/>
                <w:bCs/>
                <w:szCs w:val="24"/>
                <w:u w:val="single"/>
                <w:lang w:eastAsia="en-GB"/>
              </w:rPr>
            </w:pPr>
            <w:r w:rsidRPr="00764234">
              <w:rPr>
                <w:rFonts w:eastAsia="Times New Roman" w:cs="Arial"/>
                <w:bCs/>
                <w:szCs w:val="24"/>
                <w:lang w:eastAsia="en-GB"/>
              </w:rPr>
              <w:t>Average years for work to start on site</w:t>
            </w:r>
            <w:r w:rsidR="00D70CC8" w:rsidRPr="00764234">
              <w:rPr>
                <w:rFonts w:eastAsia="Times New Roman" w:cs="Arial"/>
                <w:bCs/>
                <w:szCs w:val="24"/>
                <w:lang w:eastAsia="en-GB"/>
              </w:rPr>
              <w:t>s</w:t>
            </w:r>
            <w:r w:rsidRPr="00764234">
              <w:rPr>
                <w:rFonts w:eastAsia="Times New Roman" w:cs="Arial"/>
                <w:bCs/>
                <w:szCs w:val="24"/>
                <w:lang w:eastAsia="en-GB"/>
              </w:rPr>
              <w:t xml:space="preserve"> with full permission</w:t>
            </w:r>
          </w:p>
        </w:tc>
        <w:tc>
          <w:tcPr>
            <w:tcW w:w="1524" w:type="dxa"/>
            <w:tcBorders>
              <w:top w:val="single" w:sz="4" w:space="0" w:color="auto"/>
              <w:left w:val="nil"/>
              <w:bottom w:val="single" w:sz="4" w:space="0" w:color="auto"/>
              <w:right w:val="single" w:sz="4" w:space="0" w:color="auto"/>
            </w:tcBorders>
            <w:shd w:val="clear" w:color="auto" w:fill="auto"/>
          </w:tcPr>
          <w:p w14:paraId="1EF2A9C3" w14:textId="77777777" w:rsidR="00362561" w:rsidRPr="00764234" w:rsidRDefault="00362561" w:rsidP="003C7935">
            <w:pPr>
              <w:jc w:val="center"/>
              <w:rPr>
                <w:rFonts w:eastAsia="Times New Roman" w:cs="Arial"/>
                <w:bCs/>
                <w:szCs w:val="24"/>
                <w:u w:val="single"/>
                <w:lang w:eastAsia="en-GB"/>
              </w:rPr>
            </w:pPr>
            <w:r w:rsidRPr="00764234">
              <w:rPr>
                <w:rFonts w:eastAsia="Times New Roman" w:cs="Arial"/>
                <w:bCs/>
                <w:szCs w:val="24"/>
                <w:u w:val="single"/>
                <w:lang w:eastAsia="en-GB"/>
              </w:rPr>
              <w:t>Build-out rates</w:t>
            </w:r>
          </w:p>
          <w:p w14:paraId="7F595C52" w14:textId="488B3164" w:rsidR="00362561" w:rsidRPr="00764234" w:rsidRDefault="00362561" w:rsidP="003C7935">
            <w:pPr>
              <w:jc w:val="center"/>
              <w:rPr>
                <w:rFonts w:eastAsia="Times New Roman" w:cs="Arial"/>
                <w:bCs/>
                <w:szCs w:val="24"/>
                <w:u w:val="single"/>
                <w:lang w:eastAsia="en-GB"/>
              </w:rPr>
            </w:pPr>
            <w:r w:rsidRPr="00764234">
              <w:rPr>
                <w:rFonts w:eastAsia="Times New Roman" w:cs="Arial"/>
                <w:bCs/>
                <w:szCs w:val="24"/>
                <w:lang w:eastAsia="en-GB"/>
              </w:rPr>
              <w:t>Average dwellings built per year</w:t>
            </w:r>
          </w:p>
        </w:tc>
      </w:tr>
      <w:tr w:rsidR="00DE77F0" w:rsidRPr="00391FF8" w14:paraId="77FFA45A" w14:textId="77777777" w:rsidTr="00362561">
        <w:trPr>
          <w:trHeight w:val="312"/>
        </w:trPr>
        <w:tc>
          <w:tcPr>
            <w:tcW w:w="2972" w:type="dxa"/>
            <w:tcBorders>
              <w:top w:val="nil"/>
              <w:left w:val="single" w:sz="4" w:space="0" w:color="auto"/>
              <w:bottom w:val="single" w:sz="4" w:space="0" w:color="auto"/>
              <w:right w:val="single" w:sz="4" w:space="0" w:color="auto"/>
            </w:tcBorders>
            <w:shd w:val="clear" w:color="auto" w:fill="auto"/>
            <w:noWrap/>
            <w:hideMark/>
          </w:tcPr>
          <w:p w14:paraId="22C23289" w14:textId="77777777" w:rsidR="00DE77F0" w:rsidRPr="00312415" w:rsidRDefault="00DE77F0" w:rsidP="003C7935">
            <w:pPr>
              <w:rPr>
                <w:rFonts w:eastAsia="Times New Roman" w:cs="Arial"/>
                <w:b/>
                <w:bCs/>
                <w:szCs w:val="24"/>
                <w:lang w:eastAsia="en-GB"/>
              </w:rPr>
            </w:pPr>
            <w:r w:rsidRPr="00312415">
              <w:rPr>
                <w:rFonts w:eastAsia="Times New Roman" w:cs="Arial"/>
                <w:b/>
                <w:bCs/>
                <w:szCs w:val="24"/>
                <w:lang w:eastAsia="en-GB"/>
              </w:rPr>
              <w:t>New build</w:t>
            </w:r>
          </w:p>
        </w:tc>
        <w:tc>
          <w:tcPr>
            <w:tcW w:w="1523" w:type="dxa"/>
            <w:tcBorders>
              <w:top w:val="nil"/>
              <w:left w:val="nil"/>
              <w:bottom w:val="single" w:sz="4" w:space="0" w:color="auto"/>
              <w:right w:val="single" w:sz="4" w:space="0" w:color="auto"/>
            </w:tcBorders>
            <w:shd w:val="clear" w:color="auto" w:fill="auto"/>
            <w:noWrap/>
          </w:tcPr>
          <w:p w14:paraId="5CF4AC0E" w14:textId="77777777" w:rsidR="00DE77F0" w:rsidRPr="00312415" w:rsidRDefault="00DE77F0" w:rsidP="003C7935">
            <w:pPr>
              <w:jc w:val="center"/>
              <w:rPr>
                <w:rFonts w:eastAsia="Times New Roman" w:cs="Arial"/>
                <w:szCs w:val="24"/>
                <w:lang w:eastAsia="en-GB"/>
              </w:rPr>
            </w:pPr>
          </w:p>
        </w:tc>
        <w:tc>
          <w:tcPr>
            <w:tcW w:w="1524" w:type="dxa"/>
            <w:tcBorders>
              <w:top w:val="nil"/>
              <w:left w:val="nil"/>
              <w:bottom w:val="single" w:sz="4" w:space="0" w:color="auto"/>
              <w:right w:val="single" w:sz="4" w:space="0" w:color="auto"/>
            </w:tcBorders>
            <w:shd w:val="clear" w:color="auto" w:fill="auto"/>
            <w:noWrap/>
            <w:hideMark/>
          </w:tcPr>
          <w:p w14:paraId="31798C00" w14:textId="77777777" w:rsidR="00DE77F0" w:rsidRPr="00312415" w:rsidRDefault="00DE77F0" w:rsidP="003C7935">
            <w:pPr>
              <w:jc w:val="center"/>
              <w:rPr>
                <w:rFonts w:eastAsia="Times New Roman" w:cs="Arial"/>
                <w:szCs w:val="24"/>
                <w:lang w:eastAsia="en-GB"/>
              </w:rPr>
            </w:pPr>
          </w:p>
        </w:tc>
        <w:tc>
          <w:tcPr>
            <w:tcW w:w="1524" w:type="dxa"/>
            <w:tcBorders>
              <w:top w:val="nil"/>
              <w:left w:val="nil"/>
              <w:bottom w:val="single" w:sz="4" w:space="0" w:color="auto"/>
              <w:right w:val="single" w:sz="4" w:space="0" w:color="auto"/>
            </w:tcBorders>
            <w:shd w:val="clear" w:color="auto" w:fill="auto"/>
          </w:tcPr>
          <w:p w14:paraId="1EFC9998" w14:textId="77777777" w:rsidR="00DE77F0" w:rsidRPr="00312415" w:rsidRDefault="00DE77F0" w:rsidP="003C7935">
            <w:pPr>
              <w:jc w:val="center"/>
              <w:rPr>
                <w:rFonts w:eastAsia="Times New Roman" w:cs="Arial"/>
                <w:szCs w:val="24"/>
                <w:lang w:eastAsia="en-GB"/>
              </w:rPr>
            </w:pPr>
          </w:p>
        </w:tc>
        <w:tc>
          <w:tcPr>
            <w:tcW w:w="1524" w:type="dxa"/>
            <w:tcBorders>
              <w:top w:val="nil"/>
              <w:left w:val="nil"/>
              <w:bottom w:val="single" w:sz="4" w:space="0" w:color="auto"/>
              <w:right w:val="single" w:sz="4" w:space="0" w:color="auto"/>
            </w:tcBorders>
            <w:shd w:val="clear" w:color="auto" w:fill="auto"/>
            <w:noWrap/>
          </w:tcPr>
          <w:p w14:paraId="35361CE7" w14:textId="77777777" w:rsidR="00DE77F0" w:rsidRPr="00312415" w:rsidRDefault="00DE77F0" w:rsidP="003C7935">
            <w:pPr>
              <w:jc w:val="center"/>
              <w:rPr>
                <w:rFonts w:eastAsia="Times New Roman" w:cs="Arial"/>
                <w:szCs w:val="24"/>
                <w:lang w:eastAsia="en-GB"/>
              </w:rPr>
            </w:pPr>
          </w:p>
        </w:tc>
      </w:tr>
      <w:tr w:rsidR="00DE77F0" w:rsidRPr="00391FF8" w14:paraId="3D7F2020" w14:textId="77777777" w:rsidTr="008A541F">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25511A1E" w14:textId="77777777" w:rsidR="00DE77F0" w:rsidRPr="00312415" w:rsidRDefault="00DE77F0" w:rsidP="003C7935">
            <w:pPr>
              <w:rPr>
                <w:rFonts w:eastAsia="Times New Roman" w:cs="Arial"/>
                <w:szCs w:val="24"/>
                <w:lang w:eastAsia="en-GB"/>
              </w:rPr>
            </w:pPr>
            <w:r w:rsidRPr="00312415">
              <w:rPr>
                <w:rFonts w:eastAsia="Times New Roman" w:cs="Arial"/>
                <w:szCs w:val="24"/>
                <w:lang w:eastAsia="en-GB"/>
              </w:rPr>
              <w:t>Small 1-9 dwellings</w:t>
            </w:r>
          </w:p>
        </w:tc>
        <w:tc>
          <w:tcPr>
            <w:tcW w:w="1523" w:type="dxa"/>
            <w:tcBorders>
              <w:top w:val="nil"/>
              <w:left w:val="nil"/>
              <w:bottom w:val="single" w:sz="4" w:space="0" w:color="auto"/>
              <w:right w:val="single" w:sz="4" w:space="0" w:color="auto"/>
            </w:tcBorders>
            <w:shd w:val="clear" w:color="auto" w:fill="auto"/>
            <w:noWrap/>
          </w:tcPr>
          <w:p w14:paraId="470501CC" w14:textId="37A956FA" w:rsidR="005F5674" w:rsidRDefault="005F5674" w:rsidP="005F5674">
            <w:pPr>
              <w:rPr>
                <w:rFonts w:eastAsia="Times New Roman" w:cs="Arial"/>
                <w:szCs w:val="24"/>
                <w:lang w:eastAsia="en-GB"/>
              </w:rPr>
            </w:pPr>
            <w:r>
              <w:rPr>
                <w:rFonts w:eastAsia="Times New Roman" w:cs="Arial"/>
                <w:szCs w:val="24"/>
                <w:lang w:eastAsia="en-GB"/>
              </w:rPr>
              <w:t xml:space="preserve">Outline </w:t>
            </w:r>
            <w:r w:rsidR="00B748B1">
              <w:rPr>
                <w:rFonts w:eastAsia="Times New Roman" w:cs="Arial"/>
                <w:szCs w:val="24"/>
                <w:lang w:eastAsia="en-GB"/>
              </w:rPr>
              <w:t>20</w:t>
            </w:r>
          </w:p>
          <w:p w14:paraId="11693FC1" w14:textId="16928F3B" w:rsidR="00DE77F0" w:rsidRPr="00312415" w:rsidRDefault="005F5674" w:rsidP="00B748B1">
            <w:r>
              <w:rPr>
                <w:rFonts w:eastAsia="Times New Roman" w:cs="Arial"/>
                <w:szCs w:val="24"/>
                <w:lang w:eastAsia="en-GB"/>
              </w:rPr>
              <w:t xml:space="preserve">Full </w:t>
            </w:r>
            <w:r w:rsidR="00B748B1">
              <w:rPr>
                <w:rFonts w:eastAsia="Times New Roman" w:cs="Arial"/>
                <w:szCs w:val="24"/>
                <w:lang w:eastAsia="en-GB"/>
              </w:rPr>
              <w:t>1</w:t>
            </w:r>
            <w:r w:rsidR="00EF288E">
              <w:rPr>
                <w:rFonts w:eastAsia="Times New Roman" w:cs="Arial"/>
                <w:szCs w:val="24"/>
                <w:lang w:eastAsia="en-GB"/>
              </w:rPr>
              <w:t>9</w:t>
            </w:r>
            <w:r w:rsidR="00B748B1">
              <w:rPr>
                <w:rFonts w:eastAsia="Times New Roman" w:cs="Arial"/>
                <w:szCs w:val="24"/>
                <w:lang w:eastAsia="en-GB"/>
              </w:rPr>
              <w:t>3</w:t>
            </w:r>
          </w:p>
        </w:tc>
        <w:tc>
          <w:tcPr>
            <w:tcW w:w="1524" w:type="dxa"/>
            <w:tcBorders>
              <w:top w:val="nil"/>
              <w:left w:val="nil"/>
              <w:bottom w:val="single" w:sz="4" w:space="0" w:color="auto"/>
              <w:right w:val="single" w:sz="4" w:space="0" w:color="auto"/>
            </w:tcBorders>
            <w:shd w:val="clear" w:color="auto" w:fill="auto"/>
            <w:noWrap/>
            <w:vAlign w:val="center"/>
            <w:hideMark/>
          </w:tcPr>
          <w:p w14:paraId="0DBF9CD1" w14:textId="77777777" w:rsidR="00DE77F0" w:rsidRPr="00312415" w:rsidRDefault="00DE77F0" w:rsidP="008A541F">
            <w:pPr>
              <w:jc w:val="center"/>
              <w:rPr>
                <w:rFonts w:eastAsia="Times New Roman" w:cs="Arial"/>
                <w:szCs w:val="24"/>
                <w:lang w:eastAsia="en-GB"/>
              </w:rPr>
            </w:pPr>
            <w:r w:rsidRPr="00312415">
              <w:rPr>
                <w:rFonts w:eastAsia="Times New Roman" w:cs="Arial"/>
                <w:szCs w:val="24"/>
                <w:lang w:eastAsia="en-GB"/>
              </w:rPr>
              <w:t>2</w:t>
            </w:r>
          </w:p>
        </w:tc>
        <w:tc>
          <w:tcPr>
            <w:tcW w:w="1524" w:type="dxa"/>
            <w:tcBorders>
              <w:top w:val="nil"/>
              <w:left w:val="nil"/>
              <w:bottom w:val="single" w:sz="4" w:space="0" w:color="auto"/>
              <w:right w:val="single" w:sz="4" w:space="0" w:color="auto"/>
            </w:tcBorders>
            <w:shd w:val="clear" w:color="auto" w:fill="auto"/>
            <w:vAlign w:val="center"/>
          </w:tcPr>
          <w:p w14:paraId="0AEFBF44" w14:textId="0DB69018" w:rsidR="00DE77F0" w:rsidRPr="00312415" w:rsidRDefault="000C2609" w:rsidP="008A541F">
            <w:pPr>
              <w:jc w:val="center"/>
            </w:pPr>
            <w:r>
              <w:t>0</w:t>
            </w:r>
          </w:p>
        </w:tc>
        <w:tc>
          <w:tcPr>
            <w:tcW w:w="1524" w:type="dxa"/>
            <w:tcBorders>
              <w:top w:val="nil"/>
              <w:left w:val="nil"/>
              <w:bottom w:val="single" w:sz="4" w:space="0" w:color="auto"/>
              <w:right w:val="single" w:sz="4" w:space="0" w:color="auto"/>
            </w:tcBorders>
            <w:shd w:val="clear" w:color="auto" w:fill="auto"/>
            <w:noWrap/>
            <w:vAlign w:val="center"/>
          </w:tcPr>
          <w:p w14:paraId="71BB6784" w14:textId="77777777" w:rsidR="00DE77F0" w:rsidRPr="00312415" w:rsidRDefault="00DE77F0" w:rsidP="008A541F">
            <w:pPr>
              <w:jc w:val="center"/>
            </w:pPr>
            <w:r w:rsidRPr="00312415">
              <w:t>1</w:t>
            </w:r>
          </w:p>
        </w:tc>
      </w:tr>
      <w:tr w:rsidR="00DE77F0" w:rsidRPr="00391FF8" w14:paraId="2DFF5CDB" w14:textId="77777777" w:rsidTr="008A541F">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51003820" w14:textId="77777777" w:rsidR="00DE77F0" w:rsidRPr="00312415" w:rsidRDefault="00DE77F0" w:rsidP="003C7935">
            <w:pPr>
              <w:rPr>
                <w:rFonts w:eastAsia="Times New Roman" w:cs="Arial"/>
                <w:szCs w:val="24"/>
                <w:lang w:eastAsia="en-GB"/>
              </w:rPr>
            </w:pPr>
            <w:r w:rsidRPr="00312415">
              <w:rPr>
                <w:rFonts w:eastAsia="Times New Roman" w:cs="Arial"/>
                <w:szCs w:val="24"/>
                <w:lang w:eastAsia="en-GB"/>
              </w:rPr>
              <w:t>Medium 10-49 dwellings</w:t>
            </w:r>
          </w:p>
        </w:tc>
        <w:tc>
          <w:tcPr>
            <w:tcW w:w="1523" w:type="dxa"/>
            <w:tcBorders>
              <w:top w:val="nil"/>
              <w:left w:val="nil"/>
              <w:bottom w:val="single" w:sz="4" w:space="0" w:color="auto"/>
              <w:right w:val="single" w:sz="4" w:space="0" w:color="auto"/>
            </w:tcBorders>
            <w:shd w:val="clear" w:color="auto" w:fill="auto"/>
            <w:noWrap/>
          </w:tcPr>
          <w:p w14:paraId="2ADB8A61" w14:textId="0F8D91B2" w:rsidR="005F5674" w:rsidRDefault="005F5674" w:rsidP="005F5674">
            <w:pPr>
              <w:rPr>
                <w:rFonts w:eastAsia="Times New Roman" w:cs="Arial"/>
                <w:szCs w:val="24"/>
                <w:lang w:eastAsia="en-GB"/>
              </w:rPr>
            </w:pPr>
            <w:r>
              <w:rPr>
                <w:rFonts w:eastAsia="Times New Roman" w:cs="Arial"/>
                <w:szCs w:val="24"/>
                <w:lang w:eastAsia="en-GB"/>
              </w:rPr>
              <w:t xml:space="preserve">Outline </w:t>
            </w:r>
            <w:r w:rsidR="00EF288E">
              <w:rPr>
                <w:rFonts w:eastAsia="Times New Roman" w:cs="Arial"/>
                <w:szCs w:val="24"/>
                <w:lang w:eastAsia="en-GB"/>
              </w:rPr>
              <w:t>3</w:t>
            </w:r>
          </w:p>
          <w:p w14:paraId="1C2751C6" w14:textId="451B032D" w:rsidR="00DE77F0" w:rsidRPr="00312415" w:rsidRDefault="005F5674" w:rsidP="00B748B1">
            <w:r>
              <w:rPr>
                <w:rFonts w:eastAsia="Times New Roman" w:cs="Arial"/>
                <w:szCs w:val="24"/>
                <w:lang w:eastAsia="en-GB"/>
              </w:rPr>
              <w:t xml:space="preserve">Full </w:t>
            </w:r>
            <w:r w:rsidR="00B748B1">
              <w:rPr>
                <w:rFonts w:eastAsia="Times New Roman" w:cs="Arial"/>
                <w:szCs w:val="24"/>
                <w:lang w:eastAsia="en-GB"/>
              </w:rPr>
              <w:t>1</w:t>
            </w:r>
            <w:r w:rsidR="00EF288E">
              <w:rPr>
                <w:rFonts w:eastAsia="Times New Roman" w:cs="Arial"/>
                <w:szCs w:val="24"/>
                <w:lang w:eastAsia="en-GB"/>
              </w:rPr>
              <w:t>9</w:t>
            </w:r>
          </w:p>
        </w:tc>
        <w:tc>
          <w:tcPr>
            <w:tcW w:w="1524" w:type="dxa"/>
            <w:tcBorders>
              <w:top w:val="nil"/>
              <w:left w:val="nil"/>
              <w:bottom w:val="single" w:sz="4" w:space="0" w:color="auto"/>
              <w:right w:val="single" w:sz="4" w:space="0" w:color="auto"/>
            </w:tcBorders>
            <w:shd w:val="clear" w:color="auto" w:fill="auto"/>
            <w:noWrap/>
            <w:vAlign w:val="center"/>
            <w:hideMark/>
          </w:tcPr>
          <w:p w14:paraId="2B78CAD5" w14:textId="2F41B302" w:rsidR="00DE77F0" w:rsidRPr="00312415" w:rsidRDefault="000C2609" w:rsidP="008A541F">
            <w:pPr>
              <w:jc w:val="center"/>
              <w:rPr>
                <w:rFonts w:eastAsia="Times New Roman" w:cs="Arial"/>
                <w:szCs w:val="24"/>
                <w:lang w:eastAsia="en-GB"/>
              </w:rPr>
            </w:pPr>
            <w:r>
              <w:rPr>
                <w:rFonts w:eastAsia="Times New Roman" w:cs="Arial"/>
                <w:szCs w:val="24"/>
                <w:lang w:eastAsia="en-GB"/>
              </w:rPr>
              <w:t>3</w:t>
            </w:r>
          </w:p>
        </w:tc>
        <w:tc>
          <w:tcPr>
            <w:tcW w:w="1524" w:type="dxa"/>
            <w:tcBorders>
              <w:top w:val="nil"/>
              <w:left w:val="nil"/>
              <w:bottom w:val="single" w:sz="4" w:space="0" w:color="auto"/>
              <w:right w:val="single" w:sz="4" w:space="0" w:color="auto"/>
            </w:tcBorders>
            <w:shd w:val="clear" w:color="auto" w:fill="auto"/>
            <w:vAlign w:val="center"/>
          </w:tcPr>
          <w:p w14:paraId="540A262B" w14:textId="77777777" w:rsidR="00DE77F0" w:rsidRPr="00312415" w:rsidRDefault="00DE77F0" w:rsidP="008A541F">
            <w:pPr>
              <w:jc w:val="center"/>
            </w:pPr>
            <w:r w:rsidRPr="00312415">
              <w:t>1</w:t>
            </w:r>
          </w:p>
        </w:tc>
        <w:tc>
          <w:tcPr>
            <w:tcW w:w="1524" w:type="dxa"/>
            <w:tcBorders>
              <w:top w:val="nil"/>
              <w:left w:val="nil"/>
              <w:bottom w:val="single" w:sz="4" w:space="0" w:color="auto"/>
              <w:right w:val="single" w:sz="4" w:space="0" w:color="auto"/>
            </w:tcBorders>
            <w:shd w:val="clear" w:color="auto" w:fill="auto"/>
            <w:noWrap/>
            <w:vAlign w:val="center"/>
          </w:tcPr>
          <w:p w14:paraId="23AFE560" w14:textId="3855A0F3" w:rsidR="00DE77F0" w:rsidRPr="00312415" w:rsidRDefault="00A72880" w:rsidP="00A72880">
            <w:pPr>
              <w:jc w:val="center"/>
            </w:pPr>
            <w:r>
              <w:t>1</w:t>
            </w:r>
            <w:r w:rsidR="0030363E">
              <w:t>2</w:t>
            </w:r>
          </w:p>
        </w:tc>
      </w:tr>
      <w:tr w:rsidR="00DE77F0" w:rsidRPr="00391FF8" w14:paraId="443A3401" w14:textId="77777777" w:rsidTr="008A541F">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389A1440" w14:textId="77777777" w:rsidR="00DE77F0" w:rsidRPr="00312415" w:rsidRDefault="00DE77F0" w:rsidP="003C7935">
            <w:pPr>
              <w:rPr>
                <w:rFonts w:eastAsia="Times New Roman" w:cs="Arial"/>
                <w:szCs w:val="24"/>
                <w:lang w:eastAsia="en-GB"/>
              </w:rPr>
            </w:pPr>
            <w:r w:rsidRPr="00312415">
              <w:rPr>
                <w:rFonts w:eastAsia="Times New Roman" w:cs="Arial"/>
                <w:szCs w:val="24"/>
                <w:lang w:eastAsia="en-GB"/>
              </w:rPr>
              <w:t>Large 50+ dwellings</w:t>
            </w:r>
          </w:p>
        </w:tc>
        <w:tc>
          <w:tcPr>
            <w:tcW w:w="1523" w:type="dxa"/>
            <w:tcBorders>
              <w:top w:val="nil"/>
              <w:left w:val="nil"/>
              <w:bottom w:val="single" w:sz="4" w:space="0" w:color="auto"/>
              <w:right w:val="single" w:sz="4" w:space="0" w:color="auto"/>
            </w:tcBorders>
            <w:shd w:val="clear" w:color="auto" w:fill="auto"/>
            <w:noWrap/>
          </w:tcPr>
          <w:p w14:paraId="41DDE96A" w14:textId="480C6EAE" w:rsidR="005F5674" w:rsidRDefault="005F5674" w:rsidP="005F5674">
            <w:pPr>
              <w:rPr>
                <w:rFonts w:eastAsia="Times New Roman" w:cs="Arial"/>
                <w:szCs w:val="24"/>
                <w:lang w:eastAsia="en-GB"/>
              </w:rPr>
            </w:pPr>
            <w:r>
              <w:rPr>
                <w:rFonts w:eastAsia="Times New Roman" w:cs="Arial"/>
                <w:szCs w:val="24"/>
                <w:lang w:eastAsia="en-GB"/>
              </w:rPr>
              <w:t xml:space="preserve">Outline </w:t>
            </w:r>
            <w:r w:rsidR="0030363E">
              <w:rPr>
                <w:rFonts w:eastAsia="Times New Roman" w:cs="Arial"/>
                <w:szCs w:val="24"/>
                <w:lang w:eastAsia="en-GB"/>
              </w:rPr>
              <w:t>4</w:t>
            </w:r>
          </w:p>
          <w:p w14:paraId="65A3DA8D" w14:textId="1FFEF256" w:rsidR="00DE77F0" w:rsidRPr="00312415" w:rsidRDefault="005F5674" w:rsidP="00B748B1">
            <w:r>
              <w:rPr>
                <w:rFonts w:eastAsia="Times New Roman" w:cs="Arial"/>
                <w:szCs w:val="24"/>
                <w:lang w:eastAsia="en-GB"/>
              </w:rPr>
              <w:t xml:space="preserve">Full </w:t>
            </w:r>
            <w:r w:rsidR="0030363E">
              <w:rPr>
                <w:rFonts w:eastAsia="Times New Roman" w:cs="Arial"/>
                <w:szCs w:val="24"/>
                <w:lang w:eastAsia="en-GB"/>
              </w:rPr>
              <w:t>11</w:t>
            </w:r>
          </w:p>
        </w:tc>
        <w:tc>
          <w:tcPr>
            <w:tcW w:w="1524" w:type="dxa"/>
            <w:tcBorders>
              <w:top w:val="nil"/>
              <w:left w:val="nil"/>
              <w:bottom w:val="single" w:sz="4" w:space="0" w:color="auto"/>
              <w:right w:val="single" w:sz="4" w:space="0" w:color="auto"/>
            </w:tcBorders>
            <w:shd w:val="clear" w:color="auto" w:fill="auto"/>
            <w:noWrap/>
            <w:vAlign w:val="center"/>
            <w:hideMark/>
          </w:tcPr>
          <w:p w14:paraId="5A043813" w14:textId="35228DC4" w:rsidR="00DE77F0" w:rsidRPr="00312415" w:rsidRDefault="00B748B1" w:rsidP="008A541F">
            <w:pPr>
              <w:jc w:val="center"/>
              <w:rPr>
                <w:rFonts w:eastAsia="Times New Roman" w:cs="Arial"/>
                <w:szCs w:val="24"/>
                <w:lang w:eastAsia="en-GB"/>
              </w:rPr>
            </w:pPr>
            <w:r>
              <w:rPr>
                <w:rFonts w:eastAsia="Times New Roman" w:cs="Arial"/>
                <w:szCs w:val="24"/>
                <w:lang w:eastAsia="en-GB"/>
              </w:rPr>
              <w:t>3</w:t>
            </w:r>
          </w:p>
        </w:tc>
        <w:tc>
          <w:tcPr>
            <w:tcW w:w="1524" w:type="dxa"/>
            <w:tcBorders>
              <w:top w:val="nil"/>
              <w:left w:val="nil"/>
              <w:bottom w:val="single" w:sz="4" w:space="0" w:color="auto"/>
              <w:right w:val="single" w:sz="4" w:space="0" w:color="auto"/>
            </w:tcBorders>
            <w:shd w:val="clear" w:color="auto" w:fill="auto"/>
            <w:vAlign w:val="center"/>
          </w:tcPr>
          <w:p w14:paraId="6EE81D79" w14:textId="77777777" w:rsidR="00DE77F0" w:rsidRPr="00312415" w:rsidRDefault="00DE77F0" w:rsidP="008A541F">
            <w:pPr>
              <w:jc w:val="center"/>
            </w:pPr>
            <w:r w:rsidRPr="00312415">
              <w:t>0</w:t>
            </w:r>
          </w:p>
        </w:tc>
        <w:tc>
          <w:tcPr>
            <w:tcW w:w="1524" w:type="dxa"/>
            <w:tcBorders>
              <w:top w:val="nil"/>
              <w:left w:val="nil"/>
              <w:bottom w:val="single" w:sz="4" w:space="0" w:color="auto"/>
              <w:right w:val="single" w:sz="4" w:space="0" w:color="auto"/>
            </w:tcBorders>
            <w:shd w:val="clear" w:color="auto" w:fill="auto"/>
            <w:noWrap/>
            <w:vAlign w:val="center"/>
          </w:tcPr>
          <w:p w14:paraId="2478AAB9" w14:textId="12A3A104" w:rsidR="00DE77F0" w:rsidRPr="00312415" w:rsidRDefault="0030363E" w:rsidP="00A72880">
            <w:pPr>
              <w:jc w:val="center"/>
            </w:pPr>
            <w:r>
              <w:t>31</w:t>
            </w:r>
          </w:p>
        </w:tc>
      </w:tr>
      <w:tr w:rsidR="00DE77F0" w:rsidRPr="00391FF8" w14:paraId="62CAEE80" w14:textId="77777777" w:rsidTr="008A541F">
        <w:trPr>
          <w:trHeight w:val="312"/>
        </w:trPr>
        <w:tc>
          <w:tcPr>
            <w:tcW w:w="2972" w:type="dxa"/>
            <w:tcBorders>
              <w:top w:val="nil"/>
              <w:left w:val="single" w:sz="4" w:space="0" w:color="auto"/>
              <w:bottom w:val="single" w:sz="4" w:space="0" w:color="auto"/>
              <w:right w:val="single" w:sz="4" w:space="0" w:color="auto"/>
            </w:tcBorders>
            <w:shd w:val="clear" w:color="auto" w:fill="auto"/>
            <w:noWrap/>
            <w:hideMark/>
          </w:tcPr>
          <w:p w14:paraId="77FC9DBF" w14:textId="77777777" w:rsidR="00DE77F0" w:rsidRPr="00312415" w:rsidRDefault="00DE77F0" w:rsidP="003C7935">
            <w:pPr>
              <w:rPr>
                <w:rFonts w:eastAsia="Times New Roman" w:cs="Arial"/>
                <w:b/>
                <w:bCs/>
                <w:szCs w:val="24"/>
                <w:lang w:eastAsia="en-GB"/>
              </w:rPr>
            </w:pPr>
            <w:r w:rsidRPr="00312415">
              <w:rPr>
                <w:rFonts w:eastAsia="Times New Roman" w:cs="Arial"/>
                <w:b/>
                <w:bCs/>
                <w:szCs w:val="24"/>
                <w:lang w:eastAsia="en-GB"/>
              </w:rPr>
              <w:t>Conversion</w:t>
            </w:r>
          </w:p>
        </w:tc>
        <w:tc>
          <w:tcPr>
            <w:tcW w:w="1523" w:type="dxa"/>
            <w:tcBorders>
              <w:top w:val="nil"/>
              <w:left w:val="nil"/>
              <w:bottom w:val="single" w:sz="4" w:space="0" w:color="auto"/>
              <w:right w:val="single" w:sz="4" w:space="0" w:color="auto"/>
            </w:tcBorders>
            <w:shd w:val="clear" w:color="auto" w:fill="auto"/>
            <w:noWrap/>
          </w:tcPr>
          <w:p w14:paraId="7EDD3D72" w14:textId="77777777" w:rsidR="00DE77F0" w:rsidRPr="00312415" w:rsidRDefault="00DE77F0" w:rsidP="005F5674"/>
        </w:tc>
        <w:tc>
          <w:tcPr>
            <w:tcW w:w="1524" w:type="dxa"/>
            <w:tcBorders>
              <w:top w:val="nil"/>
              <w:left w:val="nil"/>
              <w:bottom w:val="single" w:sz="4" w:space="0" w:color="auto"/>
              <w:right w:val="single" w:sz="4" w:space="0" w:color="auto"/>
            </w:tcBorders>
            <w:shd w:val="clear" w:color="auto" w:fill="auto"/>
            <w:noWrap/>
            <w:vAlign w:val="center"/>
            <w:hideMark/>
          </w:tcPr>
          <w:p w14:paraId="088B2CB6" w14:textId="77777777" w:rsidR="00DE77F0" w:rsidRPr="00312415" w:rsidRDefault="00DE77F0" w:rsidP="008A541F">
            <w:pPr>
              <w:jc w:val="center"/>
              <w:rPr>
                <w:rFonts w:eastAsia="Times New Roman" w:cs="Arial"/>
                <w:szCs w:val="24"/>
                <w:lang w:eastAsia="en-GB"/>
              </w:rPr>
            </w:pPr>
          </w:p>
        </w:tc>
        <w:tc>
          <w:tcPr>
            <w:tcW w:w="1524" w:type="dxa"/>
            <w:tcBorders>
              <w:top w:val="nil"/>
              <w:left w:val="nil"/>
              <w:bottom w:val="single" w:sz="4" w:space="0" w:color="auto"/>
              <w:right w:val="single" w:sz="4" w:space="0" w:color="auto"/>
            </w:tcBorders>
            <w:shd w:val="clear" w:color="auto" w:fill="auto"/>
            <w:vAlign w:val="center"/>
          </w:tcPr>
          <w:p w14:paraId="5E3F03FA" w14:textId="77777777" w:rsidR="00DE77F0" w:rsidRPr="00312415" w:rsidRDefault="00DE77F0" w:rsidP="008A541F">
            <w:pPr>
              <w:jc w:val="center"/>
            </w:pPr>
          </w:p>
        </w:tc>
        <w:tc>
          <w:tcPr>
            <w:tcW w:w="1524" w:type="dxa"/>
            <w:tcBorders>
              <w:top w:val="nil"/>
              <w:left w:val="nil"/>
              <w:bottom w:val="single" w:sz="4" w:space="0" w:color="auto"/>
              <w:right w:val="single" w:sz="4" w:space="0" w:color="auto"/>
            </w:tcBorders>
            <w:shd w:val="clear" w:color="auto" w:fill="auto"/>
            <w:noWrap/>
            <w:vAlign w:val="center"/>
          </w:tcPr>
          <w:p w14:paraId="39CC043A" w14:textId="77777777" w:rsidR="00DE77F0" w:rsidRPr="00312415" w:rsidRDefault="00DE77F0" w:rsidP="008A541F">
            <w:pPr>
              <w:jc w:val="center"/>
            </w:pPr>
          </w:p>
        </w:tc>
      </w:tr>
      <w:tr w:rsidR="00DE77F0" w:rsidRPr="00391FF8" w14:paraId="43988120" w14:textId="77777777" w:rsidTr="008A541F">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1E2C7EA4" w14:textId="77777777" w:rsidR="00DE77F0" w:rsidRPr="00312415" w:rsidRDefault="00DE77F0" w:rsidP="003C7935">
            <w:pPr>
              <w:rPr>
                <w:rFonts w:eastAsia="Times New Roman" w:cs="Arial"/>
                <w:szCs w:val="24"/>
                <w:lang w:eastAsia="en-GB"/>
              </w:rPr>
            </w:pPr>
            <w:r w:rsidRPr="00312415">
              <w:rPr>
                <w:rFonts w:eastAsia="Times New Roman" w:cs="Arial"/>
                <w:szCs w:val="24"/>
                <w:lang w:eastAsia="en-GB"/>
              </w:rPr>
              <w:t>Small 1-9 dwellings</w:t>
            </w:r>
          </w:p>
        </w:tc>
        <w:tc>
          <w:tcPr>
            <w:tcW w:w="1523" w:type="dxa"/>
            <w:tcBorders>
              <w:top w:val="nil"/>
              <w:left w:val="nil"/>
              <w:bottom w:val="single" w:sz="4" w:space="0" w:color="auto"/>
              <w:right w:val="single" w:sz="4" w:space="0" w:color="auto"/>
            </w:tcBorders>
            <w:shd w:val="clear" w:color="auto" w:fill="auto"/>
            <w:noWrap/>
          </w:tcPr>
          <w:p w14:paraId="316EA89A" w14:textId="2C440898" w:rsidR="005F5674" w:rsidRPr="005F5674" w:rsidRDefault="005F5674" w:rsidP="005F5674">
            <w:pPr>
              <w:pStyle w:val="NoSpacing"/>
              <w:rPr>
                <w:lang w:eastAsia="en-GB"/>
              </w:rPr>
            </w:pPr>
            <w:r>
              <w:rPr>
                <w:lang w:eastAsia="en-GB"/>
              </w:rPr>
              <w:t>Outline 0</w:t>
            </w:r>
          </w:p>
          <w:p w14:paraId="0F0CA1C0" w14:textId="2A64CCC7" w:rsidR="00DE77F0" w:rsidRPr="00312415" w:rsidRDefault="005F5674" w:rsidP="00B748B1">
            <w:r>
              <w:rPr>
                <w:rFonts w:eastAsia="Times New Roman" w:cs="Arial"/>
                <w:szCs w:val="24"/>
                <w:lang w:eastAsia="en-GB"/>
              </w:rPr>
              <w:t xml:space="preserve">Full </w:t>
            </w:r>
            <w:r w:rsidR="00B748B1">
              <w:rPr>
                <w:rFonts w:eastAsia="Times New Roman" w:cs="Arial"/>
                <w:szCs w:val="24"/>
                <w:lang w:eastAsia="en-GB"/>
              </w:rPr>
              <w:t>2</w:t>
            </w:r>
            <w:r w:rsidR="0030363E">
              <w:rPr>
                <w:rFonts w:eastAsia="Times New Roman" w:cs="Arial"/>
                <w:szCs w:val="24"/>
                <w:lang w:eastAsia="en-GB"/>
              </w:rPr>
              <w:t>5</w:t>
            </w:r>
          </w:p>
        </w:tc>
        <w:tc>
          <w:tcPr>
            <w:tcW w:w="1524" w:type="dxa"/>
            <w:tcBorders>
              <w:top w:val="nil"/>
              <w:left w:val="nil"/>
              <w:bottom w:val="single" w:sz="4" w:space="0" w:color="auto"/>
              <w:right w:val="single" w:sz="4" w:space="0" w:color="auto"/>
            </w:tcBorders>
            <w:shd w:val="clear" w:color="auto" w:fill="auto"/>
            <w:noWrap/>
            <w:vAlign w:val="center"/>
            <w:hideMark/>
          </w:tcPr>
          <w:p w14:paraId="72A5EC1C" w14:textId="77777777" w:rsidR="00DE77F0" w:rsidRPr="00312415" w:rsidRDefault="00DE77F0" w:rsidP="008A541F">
            <w:pPr>
              <w:jc w:val="center"/>
              <w:rPr>
                <w:rFonts w:eastAsia="Times New Roman" w:cs="Arial"/>
                <w:szCs w:val="24"/>
                <w:lang w:eastAsia="en-GB"/>
              </w:rPr>
            </w:pPr>
            <w:r w:rsidRPr="00312415">
              <w:rPr>
                <w:rFonts w:eastAsia="Times New Roman" w:cs="Arial"/>
                <w:szCs w:val="24"/>
                <w:lang w:eastAsia="en-GB"/>
              </w:rPr>
              <w:t>n/a</w:t>
            </w:r>
          </w:p>
        </w:tc>
        <w:tc>
          <w:tcPr>
            <w:tcW w:w="1524" w:type="dxa"/>
            <w:tcBorders>
              <w:top w:val="nil"/>
              <w:left w:val="nil"/>
              <w:bottom w:val="single" w:sz="4" w:space="0" w:color="auto"/>
              <w:right w:val="single" w:sz="4" w:space="0" w:color="auto"/>
            </w:tcBorders>
            <w:shd w:val="clear" w:color="auto" w:fill="auto"/>
            <w:vAlign w:val="center"/>
          </w:tcPr>
          <w:p w14:paraId="625FD233" w14:textId="77777777" w:rsidR="00DE77F0" w:rsidRPr="00312415" w:rsidRDefault="00DE77F0" w:rsidP="008A541F">
            <w:pPr>
              <w:jc w:val="center"/>
            </w:pPr>
            <w:r w:rsidRPr="00312415">
              <w:t>1</w:t>
            </w:r>
          </w:p>
        </w:tc>
        <w:tc>
          <w:tcPr>
            <w:tcW w:w="1524" w:type="dxa"/>
            <w:tcBorders>
              <w:top w:val="nil"/>
              <w:left w:val="nil"/>
              <w:bottom w:val="single" w:sz="4" w:space="0" w:color="auto"/>
              <w:right w:val="single" w:sz="4" w:space="0" w:color="auto"/>
            </w:tcBorders>
            <w:shd w:val="clear" w:color="auto" w:fill="auto"/>
            <w:noWrap/>
            <w:vAlign w:val="center"/>
          </w:tcPr>
          <w:p w14:paraId="285AEF3B" w14:textId="7810BC37" w:rsidR="00DE77F0" w:rsidRPr="00312415" w:rsidRDefault="0030363E" w:rsidP="008A541F">
            <w:pPr>
              <w:jc w:val="center"/>
            </w:pPr>
            <w:r>
              <w:t>2</w:t>
            </w:r>
          </w:p>
        </w:tc>
      </w:tr>
      <w:tr w:rsidR="00DE77F0" w:rsidRPr="00391FF8" w14:paraId="24EAFFAE" w14:textId="77777777" w:rsidTr="008A541F">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4C9E8888" w14:textId="77777777" w:rsidR="00DE77F0" w:rsidRPr="00312415" w:rsidRDefault="00DE77F0" w:rsidP="003C7935">
            <w:pPr>
              <w:rPr>
                <w:rFonts w:eastAsia="Times New Roman" w:cs="Arial"/>
                <w:szCs w:val="24"/>
                <w:lang w:eastAsia="en-GB"/>
              </w:rPr>
            </w:pPr>
            <w:r w:rsidRPr="00312415">
              <w:rPr>
                <w:rFonts w:eastAsia="Times New Roman" w:cs="Arial"/>
                <w:szCs w:val="24"/>
                <w:lang w:eastAsia="en-GB"/>
              </w:rPr>
              <w:t>Medium 10-49 dwellings</w:t>
            </w:r>
          </w:p>
        </w:tc>
        <w:tc>
          <w:tcPr>
            <w:tcW w:w="1523" w:type="dxa"/>
            <w:tcBorders>
              <w:top w:val="nil"/>
              <w:left w:val="nil"/>
              <w:bottom w:val="single" w:sz="4" w:space="0" w:color="auto"/>
              <w:right w:val="single" w:sz="4" w:space="0" w:color="auto"/>
            </w:tcBorders>
            <w:shd w:val="clear" w:color="auto" w:fill="auto"/>
            <w:noWrap/>
          </w:tcPr>
          <w:p w14:paraId="2AD1DD25" w14:textId="77777777" w:rsidR="00DE77F0" w:rsidRDefault="008A541F" w:rsidP="005F5674">
            <w:pPr>
              <w:rPr>
                <w:rFonts w:eastAsia="Times New Roman" w:cs="Arial"/>
                <w:szCs w:val="24"/>
                <w:lang w:eastAsia="en-GB"/>
              </w:rPr>
            </w:pPr>
            <w:r>
              <w:rPr>
                <w:rFonts w:eastAsia="Times New Roman" w:cs="Arial"/>
                <w:szCs w:val="24"/>
                <w:lang w:eastAsia="en-GB"/>
              </w:rPr>
              <w:t xml:space="preserve">Outline </w:t>
            </w:r>
            <w:r w:rsidR="00DE77F0">
              <w:rPr>
                <w:rFonts w:eastAsia="Times New Roman" w:cs="Arial"/>
                <w:szCs w:val="24"/>
                <w:lang w:eastAsia="en-GB"/>
              </w:rPr>
              <w:t>0</w:t>
            </w:r>
          </w:p>
          <w:p w14:paraId="12AB5874" w14:textId="23AD6735" w:rsidR="008A541F" w:rsidRPr="008A541F" w:rsidRDefault="008A541F" w:rsidP="008A541F">
            <w:pPr>
              <w:pStyle w:val="NoSpacing"/>
              <w:rPr>
                <w:lang w:eastAsia="en-GB"/>
              </w:rPr>
            </w:pPr>
            <w:r>
              <w:rPr>
                <w:lang w:eastAsia="en-GB"/>
              </w:rPr>
              <w:t>Full 0</w:t>
            </w:r>
          </w:p>
        </w:tc>
        <w:tc>
          <w:tcPr>
            <w:tcW w:w="1524" w:type="dxa"/>
            <w:tcBorders>
              <w:top w:val="nil"/>
              <w:left w:val="nil"/>
              <w:bottom w:val="single" w:sz="4" w:space="0" w:color="auto"/>
              <w:right w:val="single" w:sz="4" w:space="0" w:color="auto"/>
            </w:tcBorders>
            <w:shd w:val="clear" w:color="auto" w:fill="auto"/>
            <w:noWrap/>
            <w:vAlign w:val="center"/>
            <w:hideMark/>
          </w:tcPr>
          <w:p w14:paraId="526D207F" w14:textId="77777777" w:rsidR="00DE77F0" w:rsidRPr="00312415" w:rsidRDefault="00DE77F0" w:rsidP="008A541F">
            <w:pPr>
              <w:jc w:val="center"/>
              <w:rPr>
                <w:rFonts w:eastAsia="Times New Roman" w:cs="Arial"/>
                <w:szCs w:val="24"/>
                <w:lang w:eastAsia="en-GB"/>
              </w:rPr>
            </w:pPr>
            <w:r w:rsidRPr="00312415">
              <w:rPr>
                <w:rFonts w:eastAsia="Times New Roman" w:cs="Arial"/>
                <w:szCs w:val="24"/>
                <w:lang w:eastAsia="en-GB"/>
              </w:rPr>
              <w:t>n/a</w:t>
            </w:r>
          </w:p>
        </w:tc>
        <w:tc>
          <w:tcPr>
            <w:tcW w:w="1524" w:type="dxa"/>
            <w:tcBorders>
              <w:top w:val="nil"/>
              <w:left w:val="nil"/>
              <w:bottom w:val="single" w:sz="4" w:space="0" w:color="auto"/>
              <w:right w:val="single" w:sz="4" w:space="0" w:color="auto"/>
            </w:tcBorders>
            <w:shd w:val="clear" w:color="auto" w:fill="auto"/>
            <w:vAlign w:val="center"/>
          </w:tcPr>
          <w:p w14:paraId="3F84977B" w14:textId="77777777" w:rsidR="00DE77F0" w:rsidRPr="00312415" w:rsidRDefault="00DE77F0" w:rsidP="008A541F">
            <w:pPr>
              <w:jc w:val="center"/>
            </w:pPr>
            <w:r w:rsidRPr="00312415">
              <w:t>n/a</w:t>
            </w:r>
          </w:p>
        </w:tc>
        <w:tc>
          <w:tcPr>
            <w:tcW w:w="1524" w:type="dxa"/>
            <w:tcBorders>
              <w:top w:val="nil"/>
              <w:left w:val="nil"/>
              <w:bottom w:val="single" w:sz="4" w:space="0" w:color="auto"/>
              <w:right w:val="single" w:sz="4" w:space="0" w:color="auto"/>
            </w:tcBorders>
            <w:shd w:val="clear" w:color="auto" w:fill="auto"/>
            <w:noWrap/>
            <w:vAlign w:val="center"/>
          </w:tcPr>
          <w:p w14:paraId="054AE2CA" w14:textId="77777777" w:rsidR="00DE77F0" w:rsidRPr="00312415" w:rsidRDefault="00DE77F0" w:rsidP="008A541F">
            <w:pPr>
              <w:jc w:val="center"/>
            </w:pPr>
            <w:r w:rsidRPr="00312415">
              <w:t>n/a</w:t>
            </w:r>
          </w:p>
        </w:tc>
      </w:tr>
      <w:tr w:rsidR="00DE77F0" w:rsidRPr="00391FF8" w14:paraId="53645469" w14:textId="77777777" w:rsidTr="008A541F">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665F74B3" w14:textId="77777777" w:rsidR="00DE77F0" w:rsidRPr="00312415" w:rsidRDefault="00DE77F0" w:rsidP="003C7935">
            <w:pPr>
              <w:rPr>
                <w:rFonts w:eastAsia="Times New Roman" w:cs="Arial"/>
                <w:szCs w:val="24"/>
                <w:lang w:eastAsia="en-GB"/>
              </w:rPr>
            </w:pPr>
            <w:r w:rsidRPr="00312415">
              <w:rPr>
                <w:rFonts w:eastAsia="Times New Roman" w:cs="Arial"/>
                <w:szCs w:val="24"/>
                <w:lang w:eastAsia="en-GB"/>
              </w:rPr>
              <w:t>Large 50+ dwellings</w:t>
            </w:r>
          </w:p>
        </w:tc>
        <w:tc>
          <w:tcPr>
            <w:tcW w:w="1523" w:type="dxa"/>
            <w:tcBorders>
              <w:top w:val="nil"/>
              <w:left w:val="nil"/>
              <w:bottom w:val="single" w:sz="4" w:space="0" w:color="auto"/>
              <w:right w:val="single" w:sz="4" w:space="0" w:color="auto"/>
            </w:tcBorders>
            <w:shd w:val="clear" w:color="auto" w:fill="auto"/>
            <w:noWrap/>
          </w:tcPr>
          <w:p w14:paraId="72411103" w14:textId="77777777" w:rsidR="00DE77F0" w:rsidRDefault="008A541F" w:rsidP="005F5674">
            <w:pPr>
              <w:rPr>
                <w:rFonts w:eastAsia="Times New Roman" w:cs="Arial"/>
                <w:szCs w:val="24"/>
                <w:lang w:eastAsia="en-GB"/>
              </w:rPr>
            </w:pPr>
            <w:r>
              <w:rPr>
                <w:rFonts w:eastAsia="Times New Roman" w:cs="Arial"/>
                <w:szCs w:val="24"/>
                <w:lang w:eastAsia="en-GB"/>
              </w:rPr>
              <w:t xml:space="preserve">Outline </w:t>
            </w:r>
            <w:r w:rsidR="00DE77F0">
              <w:rPr>
                <w:rFonts w:eastAsia="Times New Roman" w:cs="Arial"/>
                <w:szCs w:val="24"/>
                <w:lang w:eastAsia="en-GB"/>
              </w:rPr>
              <w:t>0</w:t>
            </w:r>
          </w:p>
          <w:p w14:paraId="448445FD" w14:textId="26A0099A" w:rsidR="008A541F" w:rsidRPr="008A541F" w:rsidRDefault="008A541F" w:rsidP="008A541F">
            <w:pPr>
              <w:pStyle w:val="NoSpacing"/>
              <w:rPr>
                <w:lang w:eastAsia="en-GB"/>
              </w:rPr>
            </w:pPr>
            <w:r>
              <w:rPr>
                <w:lang w:eastAsia="en-GB"/>
              </w:rPr>
              <w:t>Full 0</w:t>
            </w:r>
          </w:p>
        </w:tc>
        <w:tc>
          <w:tcPr>
            <w:tcW w:w="1524" w:type="dxa"/>
            <w:tcBorders>
              <w:top w:val="nil"/>
              <w:left w:val="nil"/>
              <w:bottom w:val="single" w:sz="4" w:space="0" w:color="auto"/>
              <w:right w:val="single" w:sz="4" w:space="0" w:color="auto"/>
            </w:tcBorders>
            <w:shd w:val="clear" w:color="auto" w:fill="auto"/>
            <w:noWrap/>
            <w:vAlign w:val="center"/>
            <w:hideMark/>
          </w:tcPr>
          <w:p w14:paraId="217DD9D9" w14:textId="77777777" w:rsidR="00DE77F0" w:rsidRPr="00312415" w:rsidRDefault="00DE77F0" w:rsidP="008A541F">
            <w:pPr>
              <w:jc w:val="center"/>
              <w:rPr>
                <w:rFonts w:eastAsia="Times New Roman" w:cs="Arial"/>
                <w:szCs w:val="24"/>
                <w:lang w:eastAsia="en-GB"/>
              </w:rPr>
            </w:pPr>
            <w:r w:rsidRPr="00312415">
              <w:rPr>
                <w:rFonts w:eastAsia="Times New Roman" w:cs="Arial"/>
                <w:szCs w:val="24"/>
                <w:lang w:eastAsia="en-GB"/>
              </w:rPr>
              <w:t>n/a</w:t>
            </w:r>
          </w:p>
        </w:tc>
        <w:tc>
          <w:tcPr>
            <w:tcW w:w="1524" w:type="dxa"/>
            <w:tcBorders>
              <w:top w:val="nil"/>
              <w:left w:val="nil"/>
              <w:bottom w:val="single" w:sz="4" w:space="0" w:color="auto"/>
              <w:right w:val="single" w:sz="4" w:space="0" w:color="auto"/>
            </w:tcBorders>
            <w:shd w:val="clear" w:color="auto" w:fill="auto"/>
            <w:vAlign w:val="center"/>
          </w:tcPr>
          <w:p w14:paraId="741B12A0" w14:textId="77777777" w:rsidR="00DE77F0" w:rsidRPr="00312415" w:rsidRDefault="00DE77F0" w:rsidP="008A541F">
            <w:pPr>
              <w:jc w:val="center"/>
            </w:pPr>
            <w:r w:rsidRPr="00312415">
              <w:t>n/a</w:t>
            </w:r>
          </w:p>
        </w:tc>
        <w:tc>
          <w:tcPr>
            <w:tcW w:w="1524" w:type="dxa"/>
            <w:tcBorders>
              <w:top w:val="nil"/>
              <w:left w:val="nil"/>
              <w:bottom w:val="single" w:sz="4" w:space="0" w:color="auto"/>
              <w:right w:val="single" w:sz="4" w:space="0" w:color="auto"/>
            </w:tcBorders>
            <w:shd w:val="clear" w:color="auto" w:fill="auto"/>
            <w:noWrap/>
            <w:vAlign w:val="center"/>
          </w:tcPr>
          <w:p w14:paraId="065DB138" w14:textId="77777777" w:rsidR="00DE77F0" w:rsidRPr="00312415" w:rsidRDefault="00DE77F0" w:rsidP="008A541F">
            <w:pPr>
              <w:jc w:val="center"/>
            </w:pPr>
            <w:r w:rsidRPr="00312415">
              <w:t>n/a</w:t>
            </w:r>
          </w:p>
        </w:tc>
      </w:tr>
      <w:tr w:rsidR="00DE77F0" w:rsidRPr="00391FF8" w14:paraId="4F3DCCB9" w14:textId="77777777" w:rsidTr="008A541F">
        <w:trPr>
          <w:trHeight w:val="312"/>
        </w:trPr>
        <w:tc>
          <w:tcPr>
            <w:tcW w:w="2972" w:type="dxa"/>
            <w:tcBorders>
              <w:top w:val="nil"/>
              <w:left w:val="single" w:sz="4" w:space="0" w:color="auto"/>
              <w:bottom w:val="single" w:sz="4" w:space="0" w:color="auto"/>
              <w:right w:val="single" w:sz="4" w:space="0" w:color="auto"/>
            </w:tcBorders>
            <w:shd w:val="clear" w:color="auto" w:fill="auto"/>
            <w:noWrap/>
            <w:hideMark/>
          </w:tcPr>
          <w:p w14:paraId="097E531B" w14:textId="77777777" w:rsidR="00DE77F0" w:rsidRPr="00312415" w:rsidRDefault="00DE77F0" w:rsidP="003C7935">
            <w:pPr>
              <w:rPr>
                <w:rFonts w:eastAsia="Times New Roman" w:cs="Arial"/>
                <w:b/>
                <w:bCs/>
                <w:szCs w:val="24"/>
                <w:lang w:eastAsia="en-GB"/>
              </w:rPr>
            </w:pPr>
            <w:r w:rsidRPr="00312415">
              <w:rPr>
                <w:rFonts w:eastAsia="Times New Roman" w:cs="Arial"/>
                <w:b/>
                <w:bCs/>
                <w:szCs w:val="24"/>
                <w:lang w:eastAsia="en-GB"/>
              </w:rPr>
              <w:t>Change of use</w:t>
            </w:r>
          </w:p>
        </w:tc>
        <w:tc>
          <w:tcPr>
            <w:tcW w:w="1523" w:type="dxa"/>
            <w:tcBorders>
              <w:top w:val="nil"/>
              <w:left w:val="nil"/>
              <w:bottom w:val="single" w:sz="4" w:space="0" w:color="auto"/>
              <w:right w:val="single" w:sz="4" w:space="0" w:color="auto"/>
            </w:tcBorders>
            <w:shd w:val="clear" w:color="auto" w:fill="auto"/>
            <w:noWrap/>
          </w:tcPr>
          <w:p w14:paraId="105C5770" w14:textId="77777777" w:rsidR="00DE77F0" w:rsidRPr="00312415" w:rsidRDefault="00DE77F0" w:rsidP="005F5674"/>
        </w:tc>
        <w:tc>
          <w:tcPr>
            <w:tcW w:w="1524" w:type="dxa"/>
            <w:tcBorders>
              <w:top w:val="nil"/>
              <w:left w:val="nil"/>
              <w:bottom w:val="single" w:sz="4" w:space="0" w:color="auto"/>
              <w:right w:val="single" w:sz="4" w:space="0" w:color="auto"/>
            </w:tcBorders>
            <w:shd w:val="clear" w:color="auto" w:fill="auto"/>
            <w:noWrap/>
            <w:vAlign w:val="center"/>
            <w:hideMark/>
          </w:tcPr>
          <w:p w14:paraId="41931750" w14:textId="77777777" w:rsidR="00DE77F0" w:rsidRPr="00312415" w:rsidRDefault="00DE77F0" w:rsidP="008A541F">
            <w:pPr>
              <w:jc w:val="center"/>
              <w:rPr>
                <w:rFonts w:eastAsia="Times New Roman" w:cs="Arial"/>
                <w:szCs w:val="24"/>
                <w:lang w:eastAsia="en-GB"/>
              </w:rPr>
            </w:pPr>
          </w:p>
        </w:tc>
        <w:tc>
          <w:tcPr>
            <w:tcW w:w="1524" w:type="dxa"/>
            <w:tcBorders>
              <w:top w:val="nil"/>
              <w:left w:val="nil"/>
              <w:bottom w:val="single" w:sz="4" w:space="0" w:color="auto"/>
              <w:right w:val="single" w:sz="4" w:space="0" w:color="auto"/>
            </w:tcBorders>
            <w:shd w:val="clear" w:color="auto" w:fill="auto"/>
            <w:vAlign w:val="center"/>
          </w:tcPr>
          <w:p w14:paraId="42F237AC" w14:textId="77777777" w:rsidR="00DE77F0" w:rsidRPr="00312415" w:rsidRDefault="00DE77F0" w:rsidP="008A541F">
            <w:pPr>
              <w:jc w:val="center"/>
            </w:pPr>
          </w:p>
        </w:tc>
        <w:tc>
          <w:tcPr>
            <w:tcW w:w="1524" w:type="dxa"/>
            <w:tcBorders>
              <w:top w:val="nil"/>
              <w:left w:val="nil"/>
              <w:bottom w:val="single" w:sz="4" w:space="0" w:color="auto"/>
              <w:right w:val="single" w:sz="4" w:space="0" w:color="auto"/>
            </w:tcBorders>
            <w:shd w:val="clear" w:color="auto" w:fill="auto"/>
            <w:noWrap/>
            <w:vAlign w:val="center"/>
          </w:tcPr>
          <w:p w14:paraId="1E5C1FD4" w14:textId="77777777" w:rsidR="00DE77F0" w:rsidRPr="00312415" w:rsidRDefault="00DE77F0" w:rsidP="008A541F">
            <w:pPr>
              <w:jc w:val="center"/>
            </w:pPr>
          </w:p>
        </w:tc>
      </w:tr>
      <w:tr w:rsidR="00DE77F0" w:rsidRPr="00391FF8" w14:paraId="2E547451" w14:textId="77777777" w:rsidTr="008A541F">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10E3C4B4" w14:textId="77777777" w:rsidR="00DE77F0" w:rsidRPr="00312415" w:rsidRDefault="00DE77F0" w:rsidP="003C7935">
            <w:pPr>
              <w:rPr>
                <w:rFonts w:eastAsia="Times New Roman" w:cs="Arial"/>
                <w:szCs w:val="24"/>
                <w:lang w:eastAsia="en-GB"/>
              </w:rPr>
            </w:pPr>
            <w:r w:rsidRPr="00312415">
              <w:rPr>
                <w:rFonts w:eastAsia="Times New Roman" w:cs="Arial"/>
                <w:szCs w:val="24"/>
                <w:lang w:eastAsia="en-GB"/>
              </w:rPr>
              <w:t>Small 1-9 dwellings</w:t>
            </w:r>
          </w:p>
        </w:tc>
        <w:tc>
          <w:tcPr>
            <w:tcW w:w="1523" w:type="dxa"/>
            <w:tcBorders>
              <w:top w:val="nil"/>
              <w:left w:val="nil"/>
              <w:bottom w:val="single" w:sz="4" w:space="0" w:color="auto"/>
              <w:right w:val="single" w:sz="4" w:space="0" w:color="auto"/>
            </w:tcBorders>
            <w:shd w:val="clear" w:color="auto" w:fill="auto"/>
            <w:noWrap/>
          </w:tcPr>
          <w:p w14:paraId="637EB968" w14:textId="77777777" w:rsidR="005F5674" w:rsidRDefault="005F5674" w:rsidP="005F5674">
            <w:pPr>
              <w:rPr>
                <w:rFonts w:eastAsia="Times New Roman" w:cs="Arial"/>
                <w:szCs w:val="24"/>
                <w:lang w:eastAsia="en-GB"/>
              </w:rPr>
            </w:pPr>
            <w:r>
              <w:rPr>
                <w:rFonts w:eastAsia="Times New Roman" w:cs="Arial"/>
                <w:szCs w:val="24"/>
                <w:lang w:eastAsia="en-GB"/>
              </w:rPr>
              <w:t>Outline 2</w:t>
            </w:r>
          </w:p>
          <w:p w14:paraId="044663B4" w14:textId="35118696" w:rsidR="00DE77F0" w:rsidRPr="00312415" w:rsidRDefault="005F5674" w:rsidP="00B748B1">
            <w:r>
              <w:rPr>
                <w:rFonts w:eastAsia="Times New Roman" w:cs="Arial"/>
                <w:szCs w:val="24"/>
                <w:lang w:eastAsia="en-GB"/>
              </w:rPr>
              <w:t xml:space="preserve">Full </w:t>
            </w:r>
            <w:r w:rsidR="00B748B1">
              <w:rPr>
                <w:rFonts w:eastAsia="Times New Roman" w:cs="Arial"/>
                <w:szCs w:val="24"/>
                <w:lang w:eastAsia="en-GB"/>
              </w:rPr>
              <w:t>4</w:t>
            </w:r>
            <w:r w:rsidR="0030363E">
              <w:rPr>
                <w:rFonts w:eastAsia="Times New Roman" w:cs="Arial"/>
                <w:szCs w:val="24"/>
                <w:lang w:eastAsia="en-GB"/>
              </w:rPr>
              <w:t>9</w:t>
            </w:r>
          </w:p>
        </w:tc>
        <w:tc>
          <w:tcPr>
            <w:tcW w:w="1524" w:type="dxa"/>
            <w:tcBorders>
              <w:top w:val="nil"/>
              <w:left w:val="nil"/>
              <w:bottom w:val="single" w:sz="4" w:space="0" w:color="auto"/>
              <w:right w:val="single" w:sz="4" w:space="0" w:color="auto"/>
            </w:tcBorders>
            <w:shd w:val="clear" w:color="auto" w:fill="auto"/>
            <w:noWrap/>
            <w:vAlign w:val="center"/>
            <w:hideMark/>
          </w:tcPr>
          <w:p w14:paraId="1B6B9170" w14:textId="54091FED" w:rsidR="00DE77F0" w:rsidRPr="00312415" w:rsidRDefault="000C2609" w:rsidP="008A541F">
            <w:pPr>
              <w:jc w:val="center"/>
              <w:rPr>
                <w:rFonts w:eastAsia="Times New Roman" w:cs="Arial"/>
                <w:szCs w:val="24"/>
                <w:lang w:eastAsia="en-GB"/>
              </w:rPr>
            </w:pPr>
            <w:r>
              <w:rPr>
                <w:rFonts w:eastAsia="Times New Roman" w:cs="Arial"/>
                <w:szCs w:val="24"/>
                <w:lang w:eastAsia="en-GB"/>
              </w:rPr>
              <w:t>5</w:t>
            </w:r>
          </w:p>
        </w:tc>
        <w:tc>
          <w:tcPr>
            <w:tcW w:w="1524" w:type="dxa"/>
            <w:tcBorders>
              <w:top w:val="nil"/>
              <w:left w:val="nil"/>
              <w:bottom w:val="single" w:sz="4" w:space="0" w:color="auto"/>
              <w:right w:val="single" w:sz="4" w:space="0" w:color="auto"/>
            </w:tcBorders>
            <w:shd w:val="clear" w:color="auto" w:fill="auto"/>
            <w:vAlign w:val="center"/>
          </w:tcPr>
          <w:p w14:paraId="08B72D23" w14:textId="77777777" w:rsidR="00DE77F0" w:rsidRPr="00312415" w:rsidRDefault="00DE77F0" w:rsidP="008A541F">
            <w:pPr>
              <w:jc w:val="center"/>
            </w:pPr>
            <w:r w:rsidRPr="00312415">
              <w:t>1</w:t>
            </w:r>
          </w:p>
        </w:tc>
        <w:tc>
          <w:tcPr>
            <w:tcW w:w="1524" w:type="dxa"/>
            <w:tcBorders>
              <w:top w:val="nil"/>
              <w:left w:val="nil"/>
              <w:bottom w:val="single" w:sz="4" w:space="0" w:color="auto"/>
              <w:right w:val="single" w:sz="4" w:space="0" w:color="auto"/>
            </w:tcBorders>
            <w:shd w:val="clear" w:color="auto" w:fill="auto"/>
            <w:noWrap/>
            <w:vAlign w:val="center"/>
          </w:tcPr>
          <w:p w14:paraId="43F1CD0E" w14:textId="77777777" w:rsidR="00DE77F0" w:rsidRPr="00312415" w:rsidRDefault="00DE77F0" w:rsidP="008A541F">
            <w:pPr>
              <w:jc w:val="center"/>
            </w:pPr>
            <w:r w:rsidRPr="00312415">
              <w:t>2</w:t>
            </w:r>
          </w:p>
        </w:tc>
      </w:tr>
      <w:tr w:rsidR="00DE77F0" w:rsidRPr="00391FF8" w14:paraId="7C43401B" w14:textId="77777777" w:rsidTr="008A541F">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78FF2648" w14:textId="77777777" w:rsidR="00DE77F0" w:rsidRPr="00312415" w:rsidRDefault="00DE77F0" w:rsidP="003C7935">
            <w:pPr>
              <w:rPr>
                <w:rFonts w:eastAsia="Times New Roman" w:cs="Arial"/>
                <w:szCs w:val="24"/>
                <w:lang w:eastAsia="en-GB"/>
              </w:rPr>
            </w:pPr>
            <w:r w:rsidRPr="00312415">
              <w:rPr>
                <w:rFonts w:eastAsia="Times New Roman" w:cs="Arial"/>
                <w:szCs w:val="24"/>
                <w:lang w:eastAsia="en-GB"/>
              </w:rPr>
              <w:t>Medium 10-49 dwellings</w:t>
            </w:r>
          </w:p>
        </w:tc>
        <w:tc>
          <w:tcPr>
            <w:tcW w:w="1523" w:type="dxa"/>
            <w:tcBorders>
              <w:top w:val="nil"/>
              <w:left w:val="nil"/>
              <w:bottom w:val="single" w:sz="4" w:space="0" w:color="auto"/>
              <w:right w:val="single" w:sz="4" w:space="0" w:color="auto"/>
            </w:tcBorders>
            <w:shd w:val="clear" w:color="auto" w:fill="auto"/>
            <w:noWrap/>
          </w:tcPr>
          <w:p w14:paraId="63EA07F6" w14:textId="77777777" w:rsidR="005F5674" w:rsidRDefault="005F5674" w:rsidP="005F5674">
            <w:pPr>
              <w:rPr>
                <w:rFonts w:eastAsia="Times New Roman" w:cs="Arial"/>
                <w:szCs w:val="24"/>
                <w:lang w:eastAsia="en-GB"/>
              </w:rPr>
            </w:pPr>
            <w:r>
              <w:rPr>
                <w:rFonts w:eastAsia="Times New Roman" w:cs="Arial"/>
                <w:szCs w:val="24"/>
                <w:lang w:eastAsia="en-GB"/>
              </w:rPr>
              <w:t>Outline 0</w:t>
            </w:r>
          </w:p>
          <w:p w14:paraId="33DE9604" w14:textId="253EE625" w:rsidR="00DE77F0" w:rsidRPr="00312415" w:rsidRDefault="005F5674" w:rsidP="00B748B1">
            <w:r>
              <w:rPr>
                <w:rFonts w:eastAsia="Times New Roman" w:cs="Arial"/>
                <w:szCs w:val="24"/>
                <w:lang w:eastAsia="en-GB"/>
              </w:rPr>
              <w:t xml:space="preserve">Full </w:t>
            </w:r>
            <w:r w:rsidR="00B748B1">
              <w:rPr>
                <w:rFonts w:eastAsia="Times New Roman" w:cs="Arial"/>
                <w:szCs w:val="24"/>
                <w:lang w:eastAsia="en-GB"/>
              </w:rPr>
              <w:t>3</w:t>
            </w:r>
          </w:p>
        </w:tc>
        <w:tc>
          <w:tcPr>
            <w:tcW w:w="1524" w:type="dxa"/>
            <w:tcBorders>
              <w:top w:val="nil"/>
              <w:left w:val="nil"/>
              <w:bottom w:val="single" w:sz="4" w:space="0" w:color="auto"/>
              <w:right w:val="single" w:sz="4" w:space="0" w:color="auto"/>
            </w:tcBorders>
            <w:shd w:val="clear" w:color="auto" w:fill="auto"/>
            <w:noWrap/>
            <w:vAlign w:val="center"/>
            <w:hideMark/>
          </w:tcPr>
          <w:p w14:paraId="7D2DDF75" w14:textId="77777777" w:rsidR="00DE77F0" w:rsidRPr="00312415" w:rsidRDefault="00DE77F0" w:rsidP="008A541F">
            <w:pPr>
              <w:jc w:val="center"/>
              <w:rPr>
                <w:rFonts w:eastAsia="Times New Roman" w:cs="Arial"/>
                <w:szCs w:val="24"/>
                <w:lang w:eastAsia="en-GB"/>
              </w:rPr>
            </w:pPr>
            <w:r w:rsidRPr="00312415">
              <w:rPr>
                <w:rFonts w:eastAsia="Times New Roman" w:cs="Arial"/>
                <w:szCs w:val="24"/>
                <w:lang w:eastAsia="en-GB"/>
              </w:rPr>
              <w:t>n/a</w:t>
            </w:r>
          </w:p>
        </w:tc>
        <w:tc>
          <w:tcPr>
            <w:tcW w:w="1524" w:type="dxa"/>
            <w:tcBorders>
              <w:top w:val="nil"/>
              <w:left w:val="nil"/>
              <w:bottom w:val="single" w:sz="4" w:space="0" w:color="auto"/>
              <w:right w:val="single" w:sz="4" w:space="0" w:color="auto"/>
            </w:tcBorders>
            <w:shd w:val="clear" w:color="auto" w:fill="auto"/>
            <w:vAlign w:val="center"/>
          </w:tcPr>
          <w:p w14:paraId="63E27AB2" w14:textId="790FD216" w:rsidR="00DE77F0" w:rsidRPr="00312415" w:rsidRDefault="00B748B1" w:rsidP="008A541F">
            <w:pPr>
              <w:jc w:val="center"/>
            </w:pPr>
            <w:r>
              <w:t>1</w:t>
            </w:r>
          </w:p>
        </w:tc>
        <w:tc>
          <w:tcPr>
            <w:tcW w:w="1524" w:type="dxa"/>
            <w:tcBorders>
              <w:top w:val="nil"/>
              <w:left w:val="nil"/>
              <w:bottom w:val="single" w:sz="4" w:space="0" w:color="auto"/>
              <w:right w:val="single" w:sz="4" w:space="0" w:color="auto"/>
            </w:tcBorders>
            <w:shd w:val="clear" w:color="auto" w:fill="auto"/>
            <w:noWrap/>
            <w:vAlign w:val="center"/>
          </w:tcPr>
          <w:p w14:paraId="0073F9D0" w14:textId="1E3609A5" w:rsidR="00DE77F0" w:rsidRPr="00312415" w:rsidRDefault="001135F8" w:rsidP="008A541F">
            <w:pPr>
              <w:jc w:val="center"/>
            </w:pPr>
            <w:r>
              <w:t>21</w:t>
            </w:r>
          </w:p>
        </w:tc>
      </w:tr>
      <w:tr w:rsidR="00DE77F0" w:rsidRPr="00391FF8" w14:paraId="4E20A027" w14:textId="77777777" w:rsidTr="008A541F">
        <w:trPr>
          <w:trHeight w:val="300"/>
        </w:trPr>
        <w:tc>
          <w:tcPr>
            <w:tcW w:w="2972" w:type="dxa"/>
            <w:tcBorders>
              <w:top w:val="nil"/>
              <w:left w:val="single" w:sz="4" w:space="0" w:color="auto"/>
              <w:bottom w:val="single" w:sz="4" w:space="0" w:color="auto"/>
              <w:right w:val="single" w:sz="4" w:space="0" w:color="auto"/>
            </w:tcBorders>
            <w:shd w:val="clear" w:color="auto" w:fill="auto"/>
            <w:noWrap/>
            <w:hideMark/>
          </w:tcPr>
          <w:p w14:paraId="3AFF4EB4" w14:textId="77777777" w:rsidR="00DE77F0" w:rsidRPr="00312415" w:rsidRDefault="00DE77F0" w:rsidP="003C7935">
            <w:pPr>
              <w:rPr>
                <w:rFonts w:eastAsia="Times New Roman" w:cs="Arial"/>
                <w:szCs w:val="24"/>
                <w:lang w:eastAsia="en-GB"/>
              </w:rPr>
            </w:pPr>
            <w:r w:rsidRPr="00312415">
              <w:rPr>
                <w:rFonts w:eastAsia="Times New Roman" w:cs="Arial"/>
                <w:szCs w:val="24"/>
                <w:lang w:eastAsia="en-GB"/>
              </w:rPr>
              <w:lastRenderedPageBreak/>
              <w:t>Large 50+ dwellings</w:t>
            </w:r>
          </w:p>
        </w:tc>
        <w:tc>
          <w:tcPr>
            <w:tcW w:w="1523" w:type="dxa"/>
            <w:tcBorders>
              <w:top w:val="nil"/>
              <w:left w:val="nil"/>
              <w:bottom w:val="single" w:sz="4" w:space="0" w:color="auto"/>
              <w:right w:val="single" w:sz="4" w:space="0" w:color="auto"/>
            </w:tcBorders>
            <w:shd w:val="clear" w:color="auto" w:fill="auto"/>
            <w:noWrap/>
          </w:tcPr>
          <w:p w14:paraId="7141EBFB" w14:textId="7EA2EFCA" w:rsidR="005F5674" w:rsidRDefault="005F5674" w:rsidP="005F5674">
            <w:pPr>
              <w:rPr>
                <w:rFonts w:eastAsia="Times New Roman" w:cs="Arial"/>
                <w:szCs w:val="24"/>
                <w:lang w:eastAsia="en-GB"/>
              </w:rPr>
            </w:pPr>
            <w:r>
              <w:rPr>
                <w:rFonts w:eastAsia="Times New Roman" w:cs="Arial"/>
                <w:szCs w:val="24"/>
                <w:lang w:eastAsia="en-GB"/>
              </w:rPr>
              <w:t xml:space="preserve">Outline </w:t>
            </w:r>
            <w:r w:rsidR="00DE77F0">
              <w:rPr>
                <w:rFonts w:eastAsia="Times New Roman" w:cs="Arial"/>
                <w:szCs w:val="24"/>
                <w:lang w:eastAsia="en-GB"/>
              </w:rPr>
              <w:t>0</w:t>
            </w:r>
          </w:p>
          <w:p w14:paraId="61EC997C" w14:textId="52F4D7DB" w:rsidR="00DE77F0" w:rsidRPr="00312415" w:rsidRDefault="005F5674" w:rsidP="00B748B1">
            <w:r>
              <w:rPr>
                <w:rFonts w:eastAsia="Times New Roman" w:cs="Arial"/>
                <w:szCs w:val="24"/>
                <w:lang w:eastAsia="en-GB"/>
              </w:rPr>
              <w:t xml:space="preserve">Full </w:t>
            </w:r>
            <w:r w:rsidR="00B748B1">
              <w:rPr>
                <w:rFonts w:eastAsia="Times New Roman" w:cs="Arial"/>
                <w:szCs w:val="24"/>
                <w:lang w:eastAsia="en-GB"/>
              </w:rPr>
              <w:t>3</w:t>
            </w:r>
          </w:p>
        </w:tc>
        <w:tc>
          <w:tcPr>
            <w:tcW w:w="1524" w:type="dxa"/>
            <w:tcBorders>
              <w:top w:val="nil"/>
              <w:left w:val="nil"/>
              <w:bottom w:val="single" w:sz="4" w:space="0" w:color="auto"/>
              <w:right w:val="single" w:sz="4" w:space="0" w:color="auto"/>
            </w:tcBorders>
            <w:shd w:val="clear" w:color="auto" w:fill="auto"/>
            <w:noWrap/>
            <w:vAlign w:val="center"/>
            <w:hideMark/>
          </w:tcPr>
          <w:p w14:paraId="4CC914F8" w14:textId="77777777" w:rsidR="00DE77F0" w:rsidRPr="00312415" w:rsidRDefault="00DE77F0" w:rsidP="008A541F">
            <w:pPr>
              <w:jc w:val="center"/>
              <w:rPr>
                <w:rFonts w:eastAsia="Times New Roman" w:cs="Arial"/>
                <w:szCs w:val="24"/>
                <w:lang w:eastAsia="en-GB"/>
              </w:rPr>
            </w:pPr>
            <w:r w:rsidRPr="00312415">
              <w:rPr>
                <w:rFonts w:eastAsia="Times New Roman" w:cs="Arial"/>
                <w:szCs w:val="24"/>
                <w:lang w:eastAsia="en-GB"/>
              </w:rPr>
              <w:t>n/a</w:t>
            </w:r>
          </w:p>
        </w:tc>
        <w:tc>
          <w:tcPr>
            <w:tcW w:w="1524" w:type="dxa"/>
            <w:tcBorders>
              <w:top w:val="nil"/>
              <w:left w:val="nil"/>
              <w:bottom w:val="single" w:sz="4" w:space="0" w:color="auto"/>
              <w:right w:val="single" w:sz="4" w:space="0" w:color="auto"/>
            </w:tcBorders>
            <w:shd w:val="clear" w:color="auto" w:fill="auto"/>
            <w:vAlign w:val="center"/>
          </w:tcPr>
          <w:p w14:paraId="59364FA6" w14:textId="4ED375CA" w:rsidR="00DE77F0" w:rsidRPr="00312415" w:rsidRDefault="00AF659F" w:rsidP="008A541F">
            <w:pPr>
              <w:jc w:val="center"/>
            </w:pPr>
            <w:r>
              <w:t>1</w:t>
            </w:r>
          </w:p>
        </w:tc>
        <w:tc>
          <w:tcPr>
            <w:tcW w:w="1524" w:type="dxa"/>
            <w:tcBorders>
              <w:top w:val="nil"/>
              <w:left w:val="nil"/>
              <w:bottom w:val="single" w:sz="4" w:space="0" w:color="auto"/>
              <w:right w:val="single" w:sz="4" w:space="0" w:color="auto"/>
            </w:tcBorders>
            <w:shd w:val="clear" w:color="auto" w:fill="auto"/>
            <w:noWrap/>
            <w:vAlign w:val="center"/>
          </w:tcPr>
          <w:p w14:paraId="29341544" w14:textId="126A6DE7" w:rsidR="00DE77F0" w:rsidRPr="00312415" w:rsidRDefault="001135F8" w:rsidP="008A541F">
            <w:pPr>
              <w:jc w:val="center"/>
            </w:pPr>
            <w:r>
              <w:t>66</w:t>
            </w:r>
          </w:p>
        </w:tc>
      </w:tr>
    </w:tbl>
    <w:p w14:paraId="1D1AB25D" w14:textId="097AD5C1" w:rsidR="00391FF8" w:rsidRPr="00AE5CCE" w:rsidRDefault="006E085B" w:rsidP="00AE5CCE">
      <w:pPr>
        <w:pStyle w:val="NoSpacing"/>
      </w:pPr>
      <w:r>
        <w:t>n</w:t>
      </w:r>
      <w:r w:rsidR="00391FF8">
        <w:t>/</w:t>
      </w:r>
      <w:r>
        <w:t>a</w:t>
      </w:r>
      <w:r w:rsidR="00391FF8">
        <w:t xml:space="preserve"> = no </w:t>
      </w:r>
      <w:r w:rsidR="00EB73EF">
        <w:t xml:space="preserve">data available for those </w:t>
      </w:r>
      <w:r w:rsidR="00391FF8">
        <w:t>that falls under the specific category.</w:t>
      </w:r>
    </w:p>
    <w:p w14:paraId="2439677D" w14:textId="05D26AB9" w:rsidR="003919CF" w:rsidRDefault="003919CF"/>
    <w:p w14:paraId="2BC17DE4" w14:textId="62801A21" w:rsidR="00AF659F" w:rsidRPr="00AF659F" w:rsidRDefault="00AF659F" w:rsidP="00AF659F">
      <w:pPr>
        <w:pStyle w:val="NoSpacing"/>
        <w:rPr>
          <w:b/>
        </w:rPr>
      </w:pPr>
      <w:r w:rsidRPr="00AF659F">
        <w:rPr>
          <w:b/>
        </w:rPr>
        <w:t>Lead-in times</w:t>
      </w:r>
      <w:r>
        <w:rPr>
          <w:b/>
        </w:rPr>
        <w:t xml:space="preserve"> – a</w:t>
      </w:r>
      <w:r w:rsidRPr="00AF659F">
        <w:rPr>
          <w:b/>
        </w:rPr>
        <w:t>verage</w:t>
      </w:r>
      <w:r w:rsidRPr="00AF659F">
        <w:t xml:space="preserve"> </w:t>
      </w:r>
      <w:r w:rsidRPr="00AF659F">
        <w:rPr>
          <w:b/>
        </w:rPr>
        <w:t>years for work to start on sites</w:t>
      </w:r>
    </w:p>
    <w:p w14:paraId="39076294" w14:textId="77777777" w:rsidR="00AF659F" w:rsidRDefault="00AF659F" w:rsidP="00AF659F">
      <w:pPr>
        <w:pStyle w:val="NoSpacing"/>
      </w:pPr>
    </w:p>
    <w:tbl>
      <w:tblPr>
        <w:tblW w:w="9067" w:type="dxa"/>
        <w:tblLayout w:type="fixed"/>
        <w:tblLook w:val="04A0" w:firstRow="1" w:lastRow="0" w:firstColumn="1" w:lastColumn="0" w:noHBand="0" w:noVBand="1"/>
        <w:tblCaption w:val="Lead-in times average years for work to start on sites table"/>
        <w:tblDescription w:val="The table summarises average years for work to start on sites with outline and full planning permission for new build, conversion and change of use."/>
      </w:tblPr>
      <w:tblGrid>
        <w:gridCol w:w="2830"/>
        <w:gridCol w:w="3118"/>
        <w:gridCol w:w="3119"/>
      </w:tblGrid>
      <w:tr w:rsidR="00AF659F" w:rsidRPr="00391FF8" w14:paraId="10FF5CD2" w14:textId="77777777" w:rsidTr="00516AA9">
        <w:trPr>
          <w:trHeight w:val="58"/>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B5D9DEE" w14:textId="77777777" w:rsidR="00AF659F" w:rsidRPr="00312415" w:rsidRDefault="00AF659F" w:rsidP="00C0406E">
            <w:pPr>
              <w:rPr>
                <w:rFonts w:eastAsia="Times New Roman" w:cs="Arial"/>
                <w:b/>
                <w:bCs/>
                <w:szCs w:val="24"/>
                <w:lang w:eastAsia="en-GB"/>
              </w:rPr>
            </w:pPr>
          </w:p>
        </w:tc>
        <w:tc>
          <w:tcPr>
            <w:tcW w:w="3118" w:type="dxa"/>
            <w:tcBorders>
              <w:top w:val="single" w:sz="4" w:space="0" w:color="auto"/>
              <w:left w:val="nil"/>
              <w:bottom w:val="single" w:sz="4" w:space="0" w:color="auto"/>
              <w:right w:val="single" w:sz="4" w:space="0" w:color="auto"/>
            </w:tcBorders>
            <w:shd w:val="clear" w:color="auto" w:fill="auto"/>
          </w:tcPr>
          <w:p w14:paraId="40D29A01" w14:textId="4937F047" w:rsidR="00AF659F" w:rsidRPr="00764234" w:rsidRDefault="00AF659F" w:rsidP="00C0406E">
            <w:pPr>
              <w:jc w:val="center"/>
              <w:rPr>
                <w:rFonts w:eastAsia="Times New Roman" w:cs="Arial"/>
                <w:bCs/>
                <w:szCs w:val="24"/>
                <w:u w:val="single"/>
                <w:lang w:eastAsia="en-GB"/>
              </w:rPr>
            </w:pPr>
            <w:r>
              <w:rPr>
                <w:rFonts w:eastAsia="Times New Roman" w:cs="Arial"/>
                <w:bCs/>
                <w:szCs w:val="24"/>
                <w:lang w:eastAsia="en-GB"/>
              </w:rPr>
              <w:t>S</w:t>
            </w:r>
            <w:r w:rsidRPr="00764234">
              <w:rPr>
                <w:rFonts w:eastAsia="Times New Roman" w:cs="Arial"/>
                <w:bCs/>
                <w:szCs w:val="24"/>
                <w:lang w:eastAsia="en-GB"/>
              </w:rPr>
              <w:t>ites with outline permission</w:t>
            </w:r>
          </w:p>
        </w:tc>
        <w:tc>
          <w:tcPr>
            <w:tcW w:w="3119" w:type="dxa"/>
            <w:tcBorders>
              <w:top w:val="single" w:sz="4" w:space="0" w:color="auto"/>
              <w:left w:val="nil"/>
              <w:bottom w:val="single" w:sz="4" w:space="0" w:color="auto"/>
              <w:right w:val="single" w:sz="4" w:space="0" w:color="auto"/>
            </w:tcBorders>
            <w:shd w:val="clear" w:color="auto" w:fill="auto"/>
          </w:tcPr>
          <w:p w14:paraId="148A1975" w14:textId="20473025" w:rsidR="00AF659F" w:rsidRPr="00764234" w:rsidRDefault="00AF659F" w:rsidP="00AF659F">
            <w:pPr>
              <w:jc w:val="center"/>
              <w:rPr>
                <w:rFonts w:eastAsia="Times New Roman" w:cs="Arial"/>
                <w:bCs/>
                <w:szCs w:val="24"/>
                <w:u w:val="single"/>
                <w:lang w:eastAsia="en-GB"/>
              </w:rPr>
            </w:pPr>
            <w:r>
              <w:rPr>
                <w:rFonts w:eastAsia="Times New Roman" w:cs="Arial"/>
                <w:bCs/>
                <w:szCs w:val="24"/>
                <w:lang w:eastAsia="en-GB"/>
              </w:rPr>
              <w:t>S</w:t>
            </w:r>
            <w:r w:rsidRPr="00764234">
              <w:rPr>
                <w:rFonts w:eastAsia="Times New Roman" w:cs="Arial"/>
                <w:bCs/>
                <w:szCs w:val="24"/>
                <w:lang w:eastAsia="en-GB"/>
              </w:rPr>
              <w:t>ites with full permission</w:t>
            </w:r>
          </w:p>
        </w:tc>
      </w:tr>
      <w:tr w:rsidR="00AF659F" w:rsidRPr="00AF659F" w14:paraId="0DE98C99" w14:textId="77777777" w:rsidTr="00516AA9">
        <w:trPr>
          <w:trHeight w:val="300"/>
        </w:trPr>
        <w:tc>
          <w:tcPr>
            <w:tcW w:w="2830" w:type="dxa"/>
            <w:tcBorders>
              <w:top w:val="nil"/>
              <w:left w:val="single" w:sz="4" w:space="0" w:color="auto"/>
              <w:bottom w:val="single" w:sz="4" w:space="0" w:color="auto"/>
              <w:right w:val="single" w:sz="4" w:space="0" w:color="auto"/>
            </w:tcBorders>
            <w:shd w:val="clear" w:color="auto" w:fill="auto"/>
            <w:noWrap/>
          </w:tcPr>
          <w:p w14:paraId="2F98AA6C" w14:textId="392AFA1E" w:rsidR="00AF659F" w:rsidRPr="00AF659F" w:rsidRDefault="00AF659F" w:rsidP="00C0406E">
            <w:pPr>
              <w:rPr>
                <w:rFonts w:eastAsia="Times New Roman" w:cs="Arial"/>
                <w:szCs w:val="24"/>
                <w:lang w:eastAsia="en-GB"/>
              </w:rPr>
            </w:pPr>
            <w:r>
              <w:rPr>
                <w:rFonts w:eastAsia="Times New Roman" w:cs="Arial"/>
                <w:szCs w:val="24"/>
                <w:lang w:eastAsia="en-GB"/>
              </w:rPr>
              <w:t>N</w:t>
            </w:r>
            <w:r w:rsidRPr="00AF659F">
              <w:rPr>
                <w:rFonts w:eastAsia="Times New Roman" w:cs="Arial"/>
                <w:szCs w:val="24"/>
                <w:lang w:eastAsia="en-GB"/>
              </w:rPr>
              <w:t>ew build</w:t>
            </w:r>
          </w:p>
        </w:tc>
        <w:tc>
          <w:tcPr>
            <w:tcW w:w="3118" w:type="dxa"/>
            <w:tcBorders>
              <w:top w:val="nil"/>
              <w:left w:val="nil"/>
              <w:bottom w:val="single" w:sz="4" w:space="0" w:color="auto"/>
              <w:right w:val="single" w:sz="4" w:space="0" w:color="auto"/>
            </w:tcBorders>
            <w:shd w:val="clear" w:color="auto" w:fill="auto"/>
            <w:noWrap/>
          </w:tcPr>
          <w:p w14:paraId="0ECECBAD" w14:textId="2F6CEA1F" w:rsidR="00AF659F" w:rsidRPr="00AF659F" w:rsidRDefault="005C1B32" w:rsidP="005C1B32">
            <w:pPr>
              <w:jc w:val="center"/>
              <w:rPr>
                <w:rFonts w:eastAsia="Times New Roman" w:cs="Arial"/>
                <w:szCs w:val="24"/>
                <w:lang w:eastAsia="en-GB"/>
              </w:rPr>
            </w:pPr>
            <w:r>
              <w:rPr>
                <w:rFonts w:eastAsia="Times New Roman" w:cs="Arial"/>
                <w:szCs w:val="24"/>
                <w:lang w:eastAsia="en-GB"/>
              </w:rPr>
              <w:t>Three</w:t>
            </w:r>
            <w:r w:rsidR="00C0406E">
              <w:rPr>
                <w:rFonts w:eastAsia="Times New Roman" w:cs="Arial"/>
                <w:szCs w:val="24"/>
                <w:lang w:eastAsia="en-GB"/>
              </w:rPr>
              <w:t xml:space="preserve"> </w:t>
            </w:r>
            <w:r w:rsidR="00AF659F" w:rsidRPr="00AF659F">
              <w:rPr>
                <w:rFonts w:eastAsia="Times New Roman" w:cs="Arial"/>
                <w:szCs w:val="24"/>
                <w:lang w:eastAsia="en-GB"/>
              </w:rPr>
              <w:t>years</w:t>
            </w:r>
          </w:p>
        </w:tc>
        <w:tc>
          <w:tcPr>
            <w:tcW w:w="3119" w:type="dxa"/>
            <w:tcBorders>
              <w:top w:val="nil"/>
              <w:left w:val="nil"/>
              <w:bottom w:val="single" w:sz="4" w:space="0" w:color="auto"/>
              <w:right w:val="single" w:sz="4" w:space="0" w:color="auto"/>
            </w:tcBorders>
            <w:shd w:val="clear" w:color="auto" w:fill="auto"/>
          </w:tcPr>
          <w:p w14:paraId="767F54EA" w14:textId="602A86AE" w:rsidR="00AF659F" w:rsidRPr="00AF659F" w:rsidDel="001135F8" w:rsidRDefault="00C0406E" w:rsidP="00C0406E">
            <w:pPr>
              <w:jc w:val="center"/>
            </w:pPr>
            <w:r>
              <w:t>One year</w:t>
            </w:r>
          </w:p>
        </w:tc>
      </w:tr>
      <w:tr w:rsidR="00AF659F" w:rsidRPr="00AF659F" w14:paraId="62F2B1C1" w14:textId="77777777" w:rsidTr="00516AA9">
        <w:trPr>
          <w:trHeight w:val="300"/>
        </w:trPr>
        <w:tc>
          <w:tcPr>
            <w:tcW w:w="2830" w:type="dxa"/>
            <w:tcBorders>
              <w:top w:val="nil"/>
              <w:left w:val="single" w:sz="4" w:space="0" w:color="auto"/>
              <w:bottom w:val="single" w:sz="4" w:space="0" w:color="auto"/>
              <w:right w:val="single" w:sz="4" w:space="0" w:color="auto"/>
            </w:tcBorders>
            <w:shd w:val="clear" w:color="auto" w:fill="auto"/>
            <w:noWrap/>
          </w:tcPr>
          <w:p w14:paraId="53C37929" w14:textId="12674979" w:rsidR="00AF659F" w:rsidRPr="00AF659F" w:rsidRDefault="00AF659F" w:rsidP="00C0406E">
            <w:pPr>
              <w:rPr>
                <w:rFonts w:eastAsia="Times New Roman" w:cs="Arial"/>
                <w:szCs w:val="24"/>
                <w:lang w:eastAsia="en-GB"/>
              </w:rPr>
            </w:pPr>
            <w:r>
              <w:rPr>
                <w:rFonts w:eastAsia="Times New Roman" w:cs="Arial"/>
                <w:szCs w:val="24"/>
                <w:lang w:eastAsia="en-GB"/>
              </w:rPr>
              <w:t>C</w:t>
            </w:r>
            <w:r w:rsidRPr="00AF659F">
              <w:rPr>
                <w:rFonts w:eastAsia="Times New Roman" w:cs="Arial"/>
                <w:szCs w:val="24"/>
                <w:lang w:eastAsia="en-GB"/>
              </w:rPr>
              <w:t>onversion</w:t>
            </w:r>
          </w:p>
        </w:tc>
        <w:tc>
          <w:tcPr>
            <w:tcW w:w="3118" w:type="dxa"/>
            <w:tcBorders>
              <w:top w:val="nil"/>
              <w:left w:val="nil"/>
              <w:bottom w:val="single" w:sz="4" w:space="0" w:color="auto"/>
              <w:right w:val="single" w:sz="4" w:space="0" w:color="auto"/>
            </w:tcBorders>
            <w:shd w:val="clear" w:color="auto" w:fill="auto"/>
            <w:noWrap/>
          </w:tcPr>
          <w:p w14:paraId="0D0C00D9" w14:textId="0B8260EA" w:rsidR="00AF659F" w:rsidRPr="00AF659F" w:rsidRDefault="00FC3DA3" w:rsidP="00FC3DA3">
            <w:pPr>
              <w:jc w:val="center"/>
              <w:rPr>
                <w:rFonts w:eastAsia="Times New Roman" w:cs="Arial"/>
                <w:szCs w:val="24"/>
                <w:lang w:eastAsia="en-GB"/>
              </w:rPr>
            </w:pPr>
            <w:r>
              <w:rPr>
                <w:rFonts w:eastAsia="Times New Roman" w:cs="Arial"/>
                <w:szCs w:val="24"/>
                <w:lang w:eastAsia="en-GB"/>
              </w:rPr>
              <w:t>One year</w:t>
            </w:r>
          </w:p>
        </w:tc>
        <w:tc>
          <w:tcPr>
            <w:tcW w:w="3119" w:type="dxa"/>
            <w:tcBorders>
              <w:top w:val="nil"/>
              <w:left w:val="nil"/>
              <w:bottom w:val="single" w:sz="4" w:space="0" w:color="auto"/>
              <w:right w:val="single" w:sz="4" w:space="0" w:color="auto"/>
            </w:tcBorders>
            <w:shd w:val="clear" w:color="auto" w:fill="auto"/>
          </w:tcPr>
          <w:p w14:paraId="4E8F1A59" w14:textId="481ADAE4" w:rsidR="00AF659F" w:rsidRPr="00AF659F" w:rsidRDefault="00FC3DA3" w:rsidP="00C0406E">
            <w:pPr>
              <w:jc w:val="center"/>
            </w:pPr>
            <w:r>
              <w:t>One year</w:t>
            </w:r>
          </w:p>
        </w:tc>
      </w:tr>
      <w:tr w:rsidR="00AF659F" w:rsidRPr="00AF659F" w14:paraId="6012C447" w14:textId="77777777" w:rsidTr="00516AA9">
        <w:trPr>
          <w:trHeight w:val="300"/>
        </w:trPr>
        <w:tc>
          <w:tcPr>
            <w:tcW w:w="2830" w:type="dxa"/>
            <w:tcBorders>
              <w:top w:val="nil"/>
              <w:left w:val="single" w:sz="4" w:space="0" w:color="auto"/>
              <w:bottom w:val="single" w:sz="4" w:space="0" w:color="auto"/>
              <w:right w:val="single" w:sz="4" w:space="0" w:color="auto"/>
            </w:tcBorders>
            <w:shd w:val="clear" w:color="auto" w:fill="auto"/>
            <w:noWrap/>
          </w:tcPr>
          <w:p w14:paraId="139A28C2" w14:textId="400FB0DF" w:rsidR="00AF659F" w:rsidRPr="00AF659F" w:rsidRDefault="00AF659F" w:rsidP="00C0406E">
            <w:pPr>
              <w:rPr>
                <w:rFonts w:eastAsia="Times New Roman" w:cs="Arial"/>
                <w:szCs w:val="24"/>
                <w:lang w:eastAsia="en-GB"/>
              </w:rPr>
            </w:pPr>
            <w:r>
              <w:rPr>
                <w:rFonts w:eastAsia="Times New Roman" w:cs="Arial"/>
                <w:szCs w:val="24"/>
                <w:lang w:eastAsia="en-GB"/>
              </w:rPr>
              <w:t>C</w:t>
            </w:r>
            <w:r w:rsidRPr="00AF659F">
              <w:rPr>
                <w:rFonts w:eastAsia="Times New Roman" w:cs="Arial"/>
                <w:szCs w:val="24"/>
                <w:lang w:eastAsia="en-GB"/>
              </w:rPr>
              <w:t>hange of use</w:t>
            </w:r>
          </w:p>
        </w:tc>
        <w:tc>
          <w:tcPr>
            <w:tcW w:w="3118" w:type="dxa"/>
            <w:tcBorders>
              <w:top w:val="nil"/>
              <w:left w:val="nil"/>
              <w:bottom w:val="single" w:sz="4" w:space="0" w:color="auto"/>
              <w:right w:val="single" w:sz="4" w:space="0" w:color="auto"/>
            </w:tcBorders>
            <w:shd w:val="clear" w:color="auto" w:fill="auto"/>
            <w:noWrap/>
          </w:tcPr>
          <w:p w14:paraId="1C1A66AE" w14:textId="5B4ED766" w:rsidR="00AF659F" w:rsidRPr="00AF659F" w:rsidRDefault="00C0406E" w:rsidP="00C0406E">
            <w:pPr>
              <w:jc w:val="center"/>
              <w:rPr>
                <w:rFonts w:eastAsia="Times New Roman" w:cs="Arial"/>
                <w:szCs w:val="24"/>
                <w:lang w:eastAsia="en-GB"/>
              </w:rPr>
            </w:pPr>
            <w:r>
              <w:rPr>
                <w:rFonts w:eastAsia="Times New Roman" w:cs="Arial"/>
                <w:szCs w:val="24"/>
                <w:lang w:eastAsia="en-GB"/>
              </w:rPr>
              <w:t>Two</w:t>
            </w:r>
            <w:r w:rsidR="00AF659F" w:rsidRPr="00AF659F">
              <w:rPr>
                <w:rFonts w:eastAsia="Times New Roman" w:cs="Arial"/>
                <w:szCs w:val="24"/>
                <w:lang w:eastAsia="en-GB"/>
              </w:rPr>
              <w:t xml:space="preserve"> years</w:t>
            </w:r>
          </w:p>
        </w:tc>
        <w:tc>
          <w:tcPr>
            <w:tcW w:w="3119" w:type="dxa"/>
            <w:tcBorders>
              <w:top w:val="nil"/>
              <w:left w:val="nil"/>
              <w:bottom w:val="single" w:sz="4" w:space="0" w:color="auto"/>
              <w:right w:val="single" w:sz="4" w:space="0" w:color="auto"/>
            </w:tcBorders>
            <w:shd w:val="clear" w:color="auto" w:fill="auto"/>
          </w:tcPr>
          <w:p w14:paraId="65D9655E" w14:textId="40612419" w:rsidR="00AF659F" w:rsidRPr="00AF659F" w:rsidDel="001135F8" w:rsidRDefault="005C1B32" w:rsidP="005C1B32">
            <w:pPr>
              <w:jc w:val="center"/>
            </w:pPr>
            <w:r>
              <w:t>One</w:t>
            </w:r>
            <w:r w:rsidR="00AF659F" w:rsidRPr="00AF659F">
              <w:t xml:space="preserve"> year</w:t>
            </w:r>
          </w:p>
        </w:tc>
      </w:tr>
    </w:tbl>
    <w:p w14:paraId="7454F5F3" w14:textId="44062DCC" w:rsidR="00AF659F" w:rsidRDefault="00AF659F" w:rsidP="00AF659F">
      <w:pPr>
        <w:pStyle w:val="NoSpacing"/>
      </w:pPr>
    </w:p>
    <w:p w14:paraId="1DBDECED" w14:textId="77777777" w:rsidR="00917CFC" w:rsidRPr="008A541F" w:rsidRDefault="001E0E5D" w:rsidP="00AF659F">
      <w:pPr>
        <w:pStyle w:val="NoSpacing"/>
        <w:rPr>
          <w:u w:val="single"/>
        </w:rPr>
      </w:pPr>
      <w:r w:rsidRPr="008A541F">
        <w:rPr>
          <w:u w:val="single"/>
        </w:rPr>
        <w:t>Calculations used for each type of development:</w:t>
      </w:r>
    </w:p>
    <w:p w14:paraId="3C17C95F" w14:textId="59AD56A5" w:rsidR="001E0E5D" w:rsidRDefault="00917CFC" w:rsidP="00AF659F">
      <w:pPr>
        <w:pStyle w:val="NoSpacing"/>
      </w:pPr>
      <w:r>
        <w:t xml:space="preserve">Add average years for each type of site (i.e. </w:t>
      </w:r>
      <w:r w:rsidR="001E0E5D">
        <w:t xml:space="preserve">small </w:t>
      </w:r>
      <w:r>
        <w:t>1-9 dwellings plus</w:t>
      </w:r>
      <w:r w:rsidR="001E0E5D">
        <w:t xml:space="preserve"> medium </w:t>
      </w:r>
      <w:r>
        <w:t xml:space="preserve">10-49 dwellings plus </w:t>
      </w:r>
      <w:r w:rsidR="001E0E5D">
        <w:t>large</w:t>
      </w:r>
      <w:r>
        <w:t xml:space="preserve"> 50+ dwellings)</w:t>
      </w:r>
      <w:r w:rsidR="001E0E5D">
        <w:t xml:space="preserve"> </w:t>
      </w:r>
      <w:r w:rsidR="0040355F">
        <w:t xml:space="preserve">and </w:t>
      </w:r>
      <w:r w:rsidR="001E0E5D">
        <w:t xml:space="preserve">divided by </w:t>
      </w:r>
      <w:r>
        <w:t>three.</w:t>
      </w:r>
    </w:p>
    <w:p w14:paraId="38F398FA" w14:textId="77777777" w:rsidR="001E0E5D" w:rsidRDefault="001E0E5D" w:rsidP="00AF659F">
      <w:pPr>
        <w:pStyle w:val="NoSpacing"/>
      </w:pPr>
    </w:p>
    <w:p w14:paraId="6314D4A7" w14:textId="323998C1" w:rsidR="00AF659F" w:rsidRPr="00AF659F" w:rsidRDefault="00AF659F" w:rsidP="00AF659F">
      <w:pPr>
        <w:pStyle w:val="NoSpacing"/>
        <w:rPr>
          <w:b/>
        </w:rPr>
      </w:pPr>
      <w:r>
        <w:rPr>
          <w:b/>
        </w:rPr>
        <w:t>Build-out rate</w:t>
      </w:r>
      <w:r w:rsidR="00516AA9">
        <w:rPr>
          <w:b/>
        </w:rPr>
        <w:t>s</w:t>
      </w:r>
      <w:r>
        <w:rPr>
          <w:b/>
        </w:rPr>
        <w:t xml:space="preserve"> – average </w:t>
      </w:r>
      <w:r w:rsidRPr="00AF659F">
        <w:rPr>
          <w:b/>
        </w:rPr>
        <w:t>dwellings built per year</w:t>
      </w:r>
    </w:p>
    <w:p w14:paraId="312EF152" w14:textId="77777777" w:rsidR="00AF659F" w:rsidRDefault="00AF659F" w:rsidP="00AF659F">
      <w:pPr>
        <w:pStyle w:val="NoSpacing"/>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uild-out rates average dwellings built per year table"/>
        <w:tblDescription w:val="The table summarises the average dwellings built per year on small, medium and large sites."/>
      </w:tblPr>
      <w:tblGrid>
        <w:gridCol w:w="4314"/>
        <w:gridCol w:w="4753"/>
      </w:tblGrid>
      <w:tr w:rsidR="0087799E" w:rsidRPr="00391FF8" w14:paraId="1D08B2A7" w14:textId="1BDFA033" w:rsidTr="001E0E5D">
        <w:trPr>
          <w:trHeight w:val="300"/>
        </w:trPr>
        <w:tc>
          <w:tcPr>
            <w:tcW w:w="2830" w:type="dxa"/>
            <w:shd w:val="clear" w:color="auto" w:fill="auto"/>
            <w:noWrap/>
          </w:tcPr>
          <w:p w14:paraId="74CF4398" w14:textId="45BF0589" w:rsidR="0087799E" w:rsidRPr="00312415" w:rsidRDefault="0087799E" w:rsidP="00C0406E">
            <w:pPr>
              <w:rPr>
                <w:rFonts w:eastAsia="Times New Roman" w:cs="Arial"/>
                <w:szCs w:val="24"/>
                <w:lang w:eastAsia="en-GB"/>
              </w:rPr>
            </w:pPr>
          </w:p>
        </w:tc>
        <w:tc>
          <w:tcPr>
            <w:tcW w:w="3118" w:type="dxa"/>
            <w:shd w:val="clear" w:color="auto" w:fill="auto"/>
            <w:noWrap/>
          </w:tcPr>
          <w:p w14:paraId="1F47B573" w14:textId="6FEEFC3C" w:rsidR="0087799E" w:rsidRPr="00312415" w:rsidRDefault="0087799E" w:rsidP="001E0E5D">
            <w:pPr>
              <w:jc w:val="center"/>
            </w:pPr>
            <w:r>
              <w:t>Average</w:t>
            </w:r>
            <w:r w:rsidR="001E0E5D">
              <w:t xml:space="preserve"> dwellings built per year</w:t>
            </w:r>
          </w:p>
        </w:tc>
      </w:tr>
      <w:tr w:rsidR="0087799E" w:rsidRPr="00391FF8" w14:paraId="6392D247" w14:textId="77777777" w:rsidTr="001E0E5D">
        <w:trPr>
          <w:trHeight w:val="300"/>
        </w:trPr>
        <w:tc>
          <w:tcPr>
            <w:tcW w:w="2830" w:type="dxa"/>
            <w:shd w:val="clear" w:color="auto" w:fill="auto"/>
            <w:noWrap/>
          </w:tcPr>
          <w:p w14:paraId="2927F84C" w14:textId="45BF0589" w:rsidR="0087799E" w:rsidRPr="00312415" w:rsidRDefault="0087799E" w:rsidP="00516AA9">
            <w:pPr>
              <w:rPr>
                <w:rFonts w:eastAsia="Times New Roman" w:cs="Arial"/>
                <w:szCs w:val="24"/>
                <w:lang w:eastAsia="en-GB"/>
              </w:rPr>
            </w:pPr>
            <w:r w:rsidRPr="00312415">
              <w:rPr>
                <w:rFonts w:eastAsia="Times New Roman" w:cs="Arial"/>
                <w:szCs w:val="24"/>
                <w:lang w:eastAsia="en-GB"/>
              </w:rPr>
              <w:t>Small 1-9 dwellings</w:t>
            </w:r>
          </w:p>
        </w:tc>
        <w:tc>
          <w:tcPr>
            <w:tcW w:w="3118" w:type="dxa"/>
            <w:shd w:val="clear" w:color="auto" w:fill="auto"/>
            <w:noWrap/>
          </w:tcPr>
          <w:p w14:paraId="7D6D4449" w14:textId="7C650506" w:rsidR="0087799E" w:rsidRPr="00312415" w:rsidRDefault="0030363E" w:rsidP="005C1B32">
            <w:pPr>
              <w:jc w:val="center"/>
            </w:pPr>
            <w:r>
              <w:t>2</w:t>
            </w:r>
            <w:r w:rsidR="0087799E">
              <w:t xml:space="preserve"> home</w:t>
            </w:r>
            <w:r>
              <w:t>s</w:t>
            </w:r>
            <w:r w:rsidR="0087799E">
              <w:t xml:space="preserve"> per year</w:t>
            </w:r>
          </w:p>
        </w:tc>
      </w:tr>
      <w:tr w:rsidR="0087799E" w:rsidRPr="00391FF8" w14:paraId="6813A413" w14:textId="6BA2F779" w:rsidTr="001E0E5D">
        <w:trPr>
          <w:trHeight w:val="300"/>
        </w:trPr>
        <w:tc>
          <w:tcPr>
            <w:tcW w:w="2830" w:type="dxa"/>
            <w:tcBorders>
              <w:bottom w:val="single" w:sz="4" w:space="0" w:color="auto"/>
            </w:tcBorders>
            <w:shd w:val="clear" w:color="auto" w:fill="auto"/>
            <w:noWrap/>
            <w:hideMark/>
          </w:tcPr>
          <w:p w14:paraId="71BA7B25" w14:textId="7FB19024" w:rsidR="0087799E" w:rsidRPr="00312415" w:rsidRDefault="0087799E" w:rsidP="00516AA9">
            <w:pPr>
              <w:rPr>
                <w:rFonts w:eastAsia="Times New Roman" w:cs="Arial"/>
                <w:szCs w:val="24"/>
                <w:lang w:eastAsia="en-GB"/>
              </w:rPr>
            </w:pPr>
            <w:r>
              <w:rPr>
                <w:rFonts w:eastAsia="Times New Roman" w:cs="Arial"/>
                <w:szCs w:val="24"/>
                <w:lang w:eastAsia="en-GB"/>
              </w:rPr>
              <w:t>M</w:t>
            </w:r>
            <w:r w:rsidRPr="00312415">
              <w:rPr>
                <w:rFonts w:eastAsia="Times New Roman" w:cs="Arial"/>
                <w:szCs w:val="24"/>
                <w:lang w:eastAsia="en-GB"/>
              </w:rPr>
              <w:t>edium 10-49 dwellings</w:t>
            </w:r>
          </w:p>
        </w:tc>
        <w:tc>
          <w:tcPr>
            <w:tcW w:w="3118" w:type="dxa"/>
            <w:tcBorders>
              <w:bottom w:val="single" w:sz="4" w:space="0" w:color="auto"/>
            </w:tcBorders>
            <w:shd w:val="clear" w:color="auto" w:fill="auto"/>
            <w:noWrap/>
          </w:tcPr>
          <w:p w14:paraId="68142671" w14:textId="4A7EC3E5" w:rsidR="0087799E" w:rsidRPr="00312415" w:rsidRDefault="00376E71" w:rsidP="00376E71">
            <w:pPr>
              <w:jc w:val="center"/>
            </w:pPr>
            <w:r>
              <w:t>1</w:t>
            </w:r>
            <w:r w:rsidR="0030363E">
              <w:t>1</w:t>
            </w:r>
            <w:r w:rsidR="0087799E">
              <w:t xml:space="preserve"> homes per year</w:t>
            </w:r>
          </w:p>
        </w:tc>
      </w:tr>
      <w:tr w:rsidR="0087799E" w:rsidRPr="00391FF8" w14:paraId="539415B1" w14:textId="7D9A3FB7" w:rsidTr="001E0E5D">
        <w:trPr>
          <w:trHeight w:val="300"/>
        </w:trPr>
        <w:tc>
          <w:tcPr>
            <w:tcW w:w="2830" w:type="dxa"/>
            <w:tcBorders>
              <w:bottom w:val="single" w:sz="4" w:space="0" w:color="auto"/>
            </w:tcBorders>
            <w:shd w:val="clear" w:color="auto" w:fill="auto"/>
            <w:noWrap/>
            <w:hideMark/>
          </w:tcPr>
          <w:p w14:paraId="548A63BD" w14:textId="0613B484" w:rsidR="0087799E" w:rsidRPr="00312415" w:rsidRDefault="0087799E" w:rsidP="00516AA9">
            <w:pPr>
              <w:rPr>
                <w:rFonts w:eastAsia="Times New Roman" w:cs="Arial"/>
                <w:szCs w:val="24"/>
                <w:lang w:eastAsia="en-GB"/>
              </w:rPr>
            </w:pPr>
            <w:r>
              <w:rPr>
                <w:rFonts w:eastAsia="Times New Roman" w:cs="Arial"/>
                <w:szCs w:val="24"/>
                <w:lang w:eastAsia="en-GB"/>
              </w:rPr>
              <w:t>L</w:t>
            </w:r>
            <w:r w:rsidRPr="00312415">
              <w:rPr>
                <w:rFonts w:eastAsia="Times New Roman" w:cs="Arial"/>
                <w:szCs w:val="24"/>
                <w:lang w:eastAsia="en-GB"/>
              </w:rPr>
              <w:t>arge 50+ dwellings</w:t>
            </w:r>
          </w:p>
        </w:tc>
        <w:tc>
          <w:tcPr>
            <w:tcW w:w="3118" w:type="dxa"/>
            <w:tcBorders>
              <w:bottom w:val="single" w:sz="4" w:space="0" w:color="auto"/>
            </w:tcBorders>
            <w:shd w:val="clear" w:color="auto" w:fill="auto"/>
            <w:noWrap/>
          </w:tcPr>
          <w:p w14:paraId="371C4BC8" w14:textId="7C2E06D3" w:rsidR="0087799E" w:rsidRPr="00312415" w:rsidRDefault="005C1B32" w:rsidP="005C1B32">
            <w:pPr>
              <w:jc w:val="center"/>
            </w:pPr>
            <w:r>
              <w:t>3</w:t>
            </w:r>
            <w:r w:rsidR="0030363E">
              <w:t>2</w:t>
            </w:r>
            <w:r w:rsidR="0087799E">
              <w:t xml:space="preserve"> homes per year</w:t>
            </w:r>
          </w:p>
        </w:tc>
      </w:tr>
    </w:tbl>
    <w:p w14:paraId="40DC3081" w14:textId="59C5EAF7" w:rsidR="00AF659F" w:rsidRDefault="00AF659F" w:rsidP="00AF659F">
      <w:pPr>
        <w:pStyle w:val="NoSpacing"/>
      </w:pPr>
    </w:p>
    <w:p w14:paraId="71B579BD" w14:textId="12175170" w:rsidR="00917CFC" w:rsidRPr="008A541F" w:rsidRDefault="00917CFC" w:rsidP="00917CFC">
      <w:pPr>
        <w:pStyle w:val="NoSpacing"/>
        <w:rPr>
          <w:u w:val="single"/>
        </w:rPr>
      </w:pPr>
      <w:r w:rsidRPr="008A541F">
        <w:rPr>
          <w:u w:val="single"/>
        </w:rPr>
        <w:t>Calculations used for each type of site:</w:t>
      </w:r>
    </w:p>
    <w:p w14:paraId="5A0C410B" w14:textId="5836A3E8" w:rsidR="00917CFC" w:rsidRDefault="00917CFC" w:rsidP="00917CFC">
      <w:pPr>
        <w:pStyle w:val="NoSpacing"/>
      </w:pPr>
      <w:r>
        <w:t xml:space="preserve">Add average dwellings for each type of development (i.e. new build plus conversion plus change of use) </w:t>
      </w:r>
      <w:r w:rsidR="0040355F">
        <w:t xml:space="preserve">and </w:t>
      </w:r>
      <w:r>
        <w:t>divided by three.</w:t>
      </w:r>
    </w:p>
    <w:p w14:paraId="65CB1A7C" w14:textId="77777777" w:rsidR="00917CFC" w:rsidRPr="00AF659F" w:rsidRDefault="00917CFC" w:rsidP="00AF659F">
      <w:pPr>
        <w:pStyle w:val="NoSpacing"/>
      </w:pPr>
    </w:p>
    <w:p w14:paraId="3D52592F" w14:textId="77777777" w:rsidR="008D1B26" w:rsidRPr="00E30484" w:rsidRDefault="008D1B26" w:rsidP="008D1B26">
      <w:pPr>
        <w:pStyle w:val="NoSpacing"/>
        <w:rPr>
          <w:u w:val="single"/>
        </w:rPr>
      </w:pPr>
      <w:r>
        <w:rPr>
          <w:u w:val="single"/>
        </w:rPr>
        <w:t>Annotations:</w:t>
      </w:r>
    </w:p>
    <w:p w14:paraId="4D1E7336" w14:textId="77777777" w:rsidR="003919CF" w:rsidRDefault="003919CF" w:rsidP="003919CF">
      <w:pPr>
        <w:pStyle w:val="ListParagraph"/>
        <w:numPr>
          <w:ilvl w:val="0"/>
          <w:numId w:val="9"/>
        </w:numPr>
        <w:contextualSpacing w:val="0"/>
        <w:rPr>
          <w:szCs w:val="24"/>
        </w:rPr>
      </w:pPr>
      <w:r>
        <w:rPr>
          <w:szCs w:val="24"/>
        </w:rPr>
        <w:t>Gross figures used.</w:t>
      </w:r>
    </w:p>
    <w:p w14:paraId="106C9ED3" w14:textId="0CC8B64E" w:rsidR="0014755F" w:rsidRDefault="0014755F" w:rsidP="0014755F">
      <w:pPr>
        <w:pStyle w:val="ListParagraph"/>
        <w:numPr>
          <w:ilvl w:val="0"/>
          <w:numId w:val="9"/>
        </w:numPr>
        <w:contextualSpacing w:val="0"/>
        <w:rPr>
          <w:szCs w:val="24"/>
        </w:rPr>
      </w:pPr>
      <w:r>
        <w:rPr>
          <w:szCs w:val="24"/>
        </w:rPr>
        <w:t xml:space="preserve">Period includes 1 April 2011 </w:t>
      </w:r>
      <w:r w:rsidR="005A7062">
        <w:rPr>
          <w:szCs w:val="24"/>
        </w:rPr>
        <w:t xml:space="preserve">– </w:t>
      </w:r>
      <w:r>
        <w:rPr>
          <w:szCs w:val="24"/>
        </w:rPr>
        <w:t>31 March</w:t>
      </w:r>
      <w:r w:rsidR="000F0C98">
        <w:rPr>
          <w:szCs w:val="24"/>
        </w:rPr>
        <w:t xml:space="preserve"> </w:t>
      </w:r>
      <w:r w:rsidR="00AF659F">
        <w:rPr>
          <w:szCs w:val="24"/>
        </w:rPr>
        <w:t>202</w:t>
      </w:r>
      <w:r w:rsidR="0030363E">
        <w:rPr>
          <w:szCs w:val="24"/>
        </w:rPr>
        <w:t>3</w:t>
      </w:r>
      <w:r>
        <w:rPr>
          <w:szCs w:val="24"/>
        </w:rPr>
        <w:t>.</w:t>
      </w:r>
    </w:p>
    <w:p w14:paraId="0017DFD9" w14:textId="77777777" w:rsidR="004C0BC9" w:rsidRDefault="004C0BC9" w:rsidP="004C0BC9">
      <w:pPr>
        <w:pStyle w:val="ListParagraph"/>
        <w:numPr>
          <w:ilvl w:val="0"/>
          <w:numId w:val="9"/>
        </w:numPr>
        <w:contextualSpacing w:val="0"/>
        <w:rPr>
          <w:szCs w:val="24"/>
        </w:rPr>
      </w:pPr>
      <w:r>
        <w:rPr>
          <w:szCs w:val="24"/>
        </w:rPr>
        <w:t>Includes sites with outline and full/reserved matters permission granted during the above period (even if there is planning history before the above period).</w:t>
      </w:r>
    </w:p>
    <w:p w14:paraId="2436BCE1" w14:textId="77E8A6E8" w:rsidR="003919CF" w:rsidRDefault="003919CF" w:rsidP="003919CF">
      <w:pPr>
        <w:pStyle w:val="ListParagraph"/>
        <w:numPr>
          <w:ilvl w:val="0"/>
          <w:numId w:val="9"/>
        </w:numPr>
        <w:contextualSpacing w:val="0"/>
        <w:rPr>
          <w:szCs w:val="24"/>
        </w:rPr>
      </w:pPr>
      <w:r>
        <w:rPr>
          <w:szCs w:val="24"/>
        </w:rPr>
        <w:t xml:space="preserve">Includes sites currently under construction </w:t>
      </w:r>
      <w:r w:rsidR="004C0BC9">
        <w:rPr>
          <w:szCs w:val="24"/>
        </w:rPr>
        <w:t>(</w:t>
      </w:r>
      <w:r w:rsidR="005F46D7">
        <w:rPr>
          <w:szCs w:val="24"/>
        </w:rPr>
        <w:t>incomplete</w:t>
      </w:r>
      <w:r w:rsidR="00240F55">
        <w:rPr>
          <w:szCs w:val="24"/>
        </w:rPr>
        <w:t xml:space="preserve"> </w:t>
      </w:r>
      <w:r w:rsidR="004C0BC9">
        <w:rPr>
          <w:szCs w:val="24"/>
        </w:rPr>
        <w:t xml:space="preserve">sites) </w:t>
      </w:r>
      <w:r>
        <w:rPr>
          <w:szCs w:val="24"/>
        </w:rPr>
        <w:t xml:space="preserve">and sites fully built </w:t>
      </w:r>
      <w:r w:rsidR="0014755F">
        <w:rPr>
          <w:szCs w:val="24"/>
        </w:rPr>
        <w:t>during the above period</w:t>
      </w:r>
      <w:r>
        <w:rPr>
          <w:szCs w:val="24"/>
        </w:rPr>
        <w:t>.</w:t>
      </w:r>
    </w:p>
    <w:p w14:paraId="7DA92473" w14:textId="7FDAC933" w:rsidR="0014755F" w:rsidRDefault="0014755F" w:rsidP="0014755F">
      <w:pPr>
        <w:pStyle w:val="ListParagraph"/>
        <w:numPr>
          <w:ilvl w:val="0"/>
          <w:numId w:val="9"/>
        </w:numPr>
        <w:contextualSpacing w:val="0"/>
        <w:rPr>
          <w:szCs w:val="24"/>
        </w:rPr>
      </w:pPr>
      <w:r>
        <w:rPr>
          <w:szCs w:val="24"/>
        </w:rPr>
        <w:t>Exclude</w:t>
      </w:r>
      <w:r w:rsidR="004C0BC9">
        <w:rPr>
          <w:szCs w:val="24"/>
        </w:rPr>
        <w:t>s</w:t>
      </w:r>
      <w:r>
        <w:rPr>
          <w:szCs w:val="24"/>
        </w:rPr>
        <w:t xml:space="preserve"> sites where construction work has not started.</w:t>
      </w:r>
    </w:p>
    <w:p w14:paraId="5CE84065" w14:textId="65F09A87" w:rsidR="0014755F" w:rsidRDefault="0014755F" w:rsidP="0014755F">
      <w:pPr>
        <w:pStyle w:val="ListParagraph"/>
        <w:numPr>
          <w:ilvl w:val="0"/>
          <w:numId w:val="11"/>
        </w:numPr>
        <w:contextualSpacing w:val="0"/>
        <w:rPr>
          <w:szCs w:val="24"/>
        </w:rPr>
      </w:pPr>
      <w:r>
        <w:rPr>
          <w:szCs w:val="24"/>
        </w:rPr>
        <w:t>Exclude</w:t>
      </w:r>
      <w:r w:rsidR="004C0BC9">
        <w:rPr>
          <w:szCs w:val="24"/>
        </w:rPr>
        <w:t>s</w:t>
      </w:r>
      <w:r>
        <w:rPr>
          <w:szCs w:val="24"/>
        </w:rPr>
        <w:t xml:space="preserve"> sites for replacement dwelling</w:t>
      </w:r>
      <w:r w:rsidR="005F46D7">
        <w:rPr>
          <w:szCs w:val="24"/>
        </w:rPr>
        <w:t>s</w:t>
      </w:r>
      <w:r>
        <w:rPr>
          <w:szCs w:val="24"/>
        </w:rPr>
        <w:t xml:space="preserve"> only.</w:t>
      </w:r>
    </w:p>
    <w:p w14:paraId="4E3F72FD" w14:textId="77777777" w:rsidR="004C0BC9" w:rsidRPr="004C0BC9" w:rsidRDefault="004C0BC9" w:rsidP="004C0BC9">
      <w:pPr>
        <w:rPr>
          <w:szCs w:val="24"/>
        </w:rPr>
      </w:pPr>
    </w:p>
    <w:p w14:paraId="5794F0AC" w14:textId="43279D44" w:rsidR="00E30484" w:rsidRPr="004E039A" w:rsidRDefault="00E30484">
      <w:r w:rsidRPr="004E039A">
        <w:br w:type="page"/>
      </w:r>
    </w:p>
    <w:p w14:paraId="07E1CED4" w14:textId="77777777" w:rsidR="007038DE" w:rsidRPr="000B3629" w:rsidRDefault="00C11C15" w:rsidP="00487894">
      <w:pPr>
        <w:pStyle w:val="Heading1"/>
      </w:pPr>
      <w:bookmarkStart w:id="4" w:name="_Toc42681243"/>
      <w:r w:rsidRPr="000B3629">
        <w:lastRenderedPageBreak/>
        <w:t>Windfall allowance</w:t>
      </w:r>
      <w:bookmarkEnd w:id="4"/>
    </w:p>
    <w:p w14:paraId="7CC85468" w14:textId="3AE65C03" w:rsidR="00C11C15" w:rsidRDefault="00C11C15" w:rsidP="00C11C15">
      <w:pPr>
        <w:pStyle w:val="NoSpacing"/>
      </w:pPr>
    </w:p>
    <w:p w14:paraId="3D11E6AE" w14:textId="6B56172C" w:rsidR="00DF6D27" w:rsidRDefault="00DF6D27" w:rsidP="00DF6D27">
      <w:pPr>
        <w:pStyle w:val="NoSpacing"/>
      </w:pPr>
      <w:r>
        <w:t>See paragraphs 41</w:t>
      </w:r>
      <w:r w:rsidR="00B004CF">
        <w:t>-</w:t>
      </w:r>
      <w:r>
        <w:t>45 of the joint SHLAA m</w:t>
      </w:r>
      <w:r w:rsidRPr="002D0A11">
        <w:t xml:space="preserve">ethodology </w:t>
      </w:r>
      <w:r>
        <w:t>report.</w:t>
      </w:r>
    </w:p>
    <w:p w14:paraId="5A31C467" w14:textId="77777777" w:rsidR="002D0A11" w:rsidRDefault="002D0A11" w:rsidP="002D0A11">
      <w:pPr>
        <w:pStyle w:val="NoSpacing"/>
      </w:pPr>
    </w:p>
    <w:p w14:paraId="66070E13" w14:textId="54F2F2A4" w:rsidR="004C0BC9" w:rsidRDefault="004C0BC9" w:rsidP="00C11C15">
      <w:pPr>
        <w:pStyle w:val="NoSpacing"/>
      </w:pPr>
      <w:r>
        <w:t>To establish</w:t>
      </w:r>
      <w:r w:rsidR="006A693C">
        <w:t xml:space="preserve"> an annual</w:t>
      </w:r>
      <w:r>
        <w:t xml:space="preserve"> windfall allowance </w:t>
      </w:r>
      <w:r w:rsidR="006A693C">
        <w:t>figure</w:t>
      </w:r>
      <w:r w:rsidR="005F46D7">
        <w:t>, work has been undertaken to identify</w:t>
      </w:r>
      <w:r w:rsidR="006A693C">
        <w:t xml:space="preserve"> </w:t>
      </w:r>
      <w:r>
        <w:t>the number of dwellings built on non-allocated sites</w:t>
      </w:r>
      <w:r w:rsidR="00987577">
        <w:t xml:space="preserve"> (windfall sites)</w:t>
      </w:r>
      <w:r>
        <w:t xml:space="preserve"> </w:t>
      </w:r>
      <w:r w:rsidR="006339FB">
        <w:t xml:space="preserve">in </w:t>
      </w:r>
      <w:r>
        <w:t>the most recent 10 year period, including r</w:t>
      </w:r>
      <w:r w:rsidRPr="00317EC8">
        <w:t>esidential garden land</w:t>
      </w:r>
      <w:r w:rsidR="005F46D7">
        <w:t>,</w:t>
      </w:r>
      <w:r w:rsidRPr="00317EC8">
        <w:t xml:space="preserve"> in accordance with </w:t>
      </w:r>
      <w:r>
        <w:t>the National Planning Policy Framework</w:t>
      </w:r>
      <w:r w:rsidR="001D20B9">
        <w:t xml:space="preserve"> 2021</w:t>
      </w:r>
      <w:r>
        <w:t>.</w:t>
      </w:r>
      <w:r w:rsidR="005D67FB">
        <w:t xml:space="preserve">  </w:t>
      </w:r>
      <w:r w:rsidR="005F46D7">
        <w:t xml:space="preserve">It is considered that a period of 10 years is long enough to cover more than one economic cycle and provide a robust figure.  However, this figure will be revisited annually and a rolling 10 year period considered, thereby allowing changes in policy (such as the definition of </w:t>
      </w:r>
      <w:r w:rsidR="005D67FB">
        <w:t xml:space="preserve">residential </w:t>
      </w:r>
      <w:r w:rsidR="005F46D7">
        <w:t>garden land) to be reflected.</w:t>
      </w:r>
    </w:p>
    <w:p w14:paraId="647946EF" w14:textId="77777777" w:rsidR="004C0BC9" w:rsidRDefault="004C0BC9" w:rsidP="00C11C15">
      <w:pPr>
        <w:pStyle w:val="NoSpacing"/>
      </w:pPr>
    </w:p>
    <w:p w14:paraId="2C5B1F3B" w14:textId="6E9173A6" w:rsidR="00C9752E" w:rsidRDefault="00C9752E" w:rsidP="00C9752E">
      <w:pPr>
        <w:pStyle w:val="NoSpacing"/>
      </w:pPr>
      <w:r>
        <w:t>T</w:t>
      </w:r>
      <w:r w:rsidR="00987577">
        <w:t>he t</w:t>
      </w:r>
      <w:r>
        <w:t xml:space="preserve">able </w:t>
      </w:r>
      <w:r w:rsidR="004C0BC9">
        <w:t xml:space="preserve">below </w:t>
      </w:r>
      <w:r>
        <w:t xml:space="preserve">shows the number of completions on non-allocated sites </w:t>
      </w:r>
      <w:r w:rsidR="004C0BC9">
        <w:t>of different size</w:t>
      </w:r>
      <w:r w:rsidR="005F46D7">
        <w:t>s</w:t>
      </w:r>
      <w:r w:rsidR="004C0BC9">
        <w:t xml:space="preserve"> </w:t>
      </w:r>
      <w:r>
        <w:t xml:space="preserve">for each year and the average </w:t>
      </w:r>
      <w:r w:rsidR="00E30484" w:rsidRPr="00E30484">
        <w:rPr>
          <w:szCs w:val="24"/>
        </w:rPr>
        <w:t>for</w:t>
      </w:r>
      <w:r w:rsidR="00E30484">
        <w:rPr>
          <w:szCs w:val="24"/>
        </w:rPr>
        <w:t xml:space="preserve"> the period</w:t>
      </w:r>
      <w:r>
        <w:t xml:space="preserve"> </w:t>
      </w:r>
      <w:r w:rsidR="000B3629">
        <w:t xml:space="preserve">1 April </w:t>
      </w:r>
      <w:r w:rsidR="001B7A57">
        <w:t>201</w:t>
      </w:r>
      <w:r w:rsidR="0030363E">
        <w:t>3</w:t>
      </w:r>
      <w:r w:rsidR="001B7A57">
        <w:t xml:space="preserve"> </w:t>
      </w:r>
      <w:r w:rsidR="000B3629">
        <w:t>to 31 March</w:t>
      </w:r>
      <w:r w:rsidR="001B7A57">
        <w:t xml:space="preserve"> 202</w:t>
      </w:r>
      <w:r w:rsidR="0030363E">
        <w:t>3</w:t>
      </w:r>
      <w:r>
        <w:t>.</w:t>
      </w:r>
      <w:r w:rsidR="000A3C19">
        <w:t xml:space="preserve">  The figures for 2009 to 201</w:t>
      </w:r>
      <w:r w:rsidR="001201D7">
        <w:t>3</w:t>
      </w:r>
      <w:r w:rsidR="000A3C19">
        <w:t xml:space="preserve"> are included in the table for information only but do not contribute to the windfall allowance figure for </w:t>
      </w:r>
      <w:r w:rsidR="00917CFC">
        <w:t xml:space="preserve">the current rolling </w:t>
      </w:r>
      <w:proofErr w:type="gramStart"/>
      <w:r w:rsidR="00917CFC">
        <w:t>10 year</w:t>
      </w:r>
      <w:proofErr w:type="gramEnd"/>
      <w:r w:rsidR="00917CFC">
        <w:t xml:space="preserve"> period </w:t>
      </w:r>
      <w:r w:rsidR="000A3C19">
        <w:t>201</w:t>
      </w:r>
      <w:r w:rsidR="001201D7">
        <w:t>3</w:t>
      </w:r>
      <w:r w:rsidR="000A3C19">
        <w:t xml:space="preserve"> to 202</w:t>
      </w:r>
      <w:r w:rsidR="001201D7">
        <w:t>3</w:t>
      </w:r>
      <w:r w:rsidR="000A3C19">
        <w:t>.</w:t>
      </w:r>
    </w:p>
    <w:p w14:paraId="3EC9E13E" w14:textId="77777777" w:rsidR="004B6278" w:rsidRDefault="004B6278" w:rsidP="00C11C15">
      <w:pPr>
        <w:pStyle w:val="NoSpacing"/>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Windfall allowance table"/>
        <w:tblDescription w:val="The table provides data on number of completions on non-allocated sites of different sizes for each year. The data is split between small, medium and large sites."/>
      </w:tblPr>
      <w:tblGrid>
        <w:gridCol w:w="1786"/>
        <w:gridCol w:w="1786"/>
        <w:gridCol w:w="1786"/>
        <w:gridCol w:w="1786"/>
        <w:gridCol w:w="1787"/>
      </w:tblGrid>
      <w:tr w:rsidR="00C402F4" w:rsidRPr="00C11C15" w14:paraId="1F7D1EBB" w14:textId="77777777" w:rsidTr="00550C59">
        <w:trPr>
          <w:trHeight w:val="624"/>
        </w:trPr>
        <w:tc>
          <w:tcPr>
            <w:tcW w:w="1786" w:type="dxa"/>
            <w:shd w:val="clear" w:color="auto" w:fill="auto"/>
            <w:hideMark/>
          </w:tcPr>
          <w:p w14:paraId="61D2D3F3" w14:textId="248A8FB3" w:rsidR="00C402F4" w:rsidRPr="00C11C15" w:rsidRDefault="00C402F4" w:rsidP="00C402F4">
            <w:pPr>
              <w:rPr>
                <w:rFonts w:eastAsia="Times New Roman" w:cs="Arial"/>
                <w:b/>
                <w:bCs/>
                <w:szCs w:val="24"/>
                <w:lang w:eastAsia="en-GB"/>
              </w:rPr>
            </w:pPr>
          </w:p>
        </w:tc>
        <w:tc>
          <w:tcPr>
            <w:tcW w:w="1786" w:type="dxa"/>
            <w:shd w:val="clear" w:color="auto" w:fill="auto"/>
            <w:hideMark/>
          </w:tcPr>
          <w:p w14:paraId="7019F59B" w14:textId="77777777" w:rsidR="00C402F4" w:rsidRPr="00764234" w:rsidRDefault="00C402F4" w:rsidP="00C402F4">
            <w:pPr>
              <w:jc w:val="center"/>
              <w:rPr>
                <w:rFonts w:eastAsia="Times New Roman" w:cs="Arial"/>
                <w:bCs/>
                <w:szCs w:val="24"/>
                <w:lang w:eastAsia="en-GB"/>
              </w:rPr>
            </w:pPr>
            <w:r w:rsidRPr="00764234">
              <w:rPr>
                <w:rFonts w:eastAsia="Times New Roman" w:cs="Arial"/>
                <w:bCs/>
                <w:szCs w:val="24"/>
                <w:lang w:eastAsia="en-GB"/>
              </w:rPr>
              <w:t>Small</w:t>
            </w:r>
            <w:r w:rsidR="00B323CE" w:rsidRPr="00764234">
              <w:rPr>
                <w:rFonts w:eastAsia="Times New Roman" w:cs="Arial"/>
                <w:bCs/>
                <w:szCs w:val="24"/>
                <w:lang w:eastAsia="en-GB"/>
              </w:rPr>
              <w:t xml:space="preserve"> sites</w:t>
            </w:r>
          </w:p>
          <w:p w14:paraId="2EF01D77" w14:textId="77777777" w:rsidR="00550C59" w:rsidRPr="00764234" w:rsidRDefault="00550C59" w:rsidP="00C402F4">
            <w:pPr>
              <w:jc w:val="center"/>
              <w:rPr>
                <w:rFonts w:eastAsia="Times New Roman" w:cs="Arial"/>
                <w:bCs/>
                <w:szCs w:val="24"/>
                <w:lang w:eastAsia="en-GB"/>
              </w:rPr>
            </w:pPr>
            <w:r w:rsidRPr="00764234">
              <w:rPr>
                <w:rFonts w:eastAsia="Times New Roman" w:cs="Arial"/>
                <w:bCs/>
                <w:szCs w:val="24"/>
                <w:lang w:eastAsia="en-GB"/>
              </w:rPr>
              <w:t>1-9</w:t>
            </w:r>
          </w:p>
          <w:p w14:paraId="4CA73645" w14:textId="77777777" w:rsidR="00C402F4" w:rsidRPr="00764234" w:rsidRDefault="00C402F4" w:rsidP="00C402F4">
            <w:pPr>
              <w:jc w:val="center"/>
              <w:rPr>
                <w:rFonts w:eastAsia="Times New Roman" w:cs="Arial"/>
                <w:bCs/>
                <w:szCs w:val="24"/>
                <w:lang w:eastAsia="en-GB"/>
              </w:rPr>
            </w:pPr>
            <w:r w:rsidRPr="00764234">
              <w:rPr>
                <w:rFonts w:eastAsia="Times New Roman" w:cs="Arial"/>
                <w:bCs/>
                <w:szCs w:val="24"/>
                <w:lang w:eastAsia="en-GB"/>
              </w:rPr>
              <w:t>dwellings</w:t>
            </w:r>
          </w:p>
        </w:tc>
        <w:tc>
          <w:tcPr>
            <w:tcW w:w="1786" w:type="dxa"/>
            <w:shd w:val="clear" w:color="auto" w:fill="auto"/>
            <w:hideMark/>
          </w:tcPr>
          <w:p w14:paraId="45D9DF51" w14:textId="77777777" w:rsidR="00C402F4" w:rsidRPr="00764234" w:rsidRDefault="00C402F4" w:rsidP="00C402F4">
            <w:pPr>
              <w:jc w:val="center"/>
              <w:rPr>
                <w:rFonts w:eastAsia="Times New Roman" w:cs="Arial"/>
                <w:bCs/>
                <w:szCs w:val="24"/>
                <w:lang w:eastAsia="en-GB"/>
              </w:rPr>
            </w:pPr>
            <w:r w:rsidRPr="00764234">
              <w:rPr>
                <w:rFonts w:eastAsia="Times New Roman" w:cs="Arial"/>
                <w:bCs/>
                <w:szCs w:val="24"/>
                <w:lang w:eastAsia="en-GB"/>
              </w:rPr>
              <w:t>Medium</w:t>
            </w:r>
            <w:r w:rsidR="00B323CE" w:rsidRPr="00764234">
              <w:rPr>
                <w:rFonts w:eastAsia="Times New Roman" w:cs="Arial"/>
                <w:bCs/>
                <w:szCs w:val="24"/>
                <w:lang w:eastAsia="en-GB"/>
              </w:rPr>
              <w:t xml:space="preserve"> sites</w:t>
            </w:r>
          </w:p>
          <w:p w14:paraId="5258EFA1" w14:textId="77777777" w:rsidR="00C402F4" w:rsidRPr="00764234" w:rsidRDefault="00C402F4" w:rsidP="00C402F4">
            <w:pPr>
              <w:jc w:val="center"/>
              <w:rPr>
                <w:rFonts w:eastAsia="Times New Roman" w:cs="Arial"/>
                <w:bCs/>
                <w:szCs w:val="24"/>
                <w:lang w:eastAsia="en-GB"/>
              </w:rPr>
            </w:pPr>
            <w:r w:rsidRPr="00764234">
              <w:rPr>
                <w:rFonts w:eastAsia="Times New Roman" w:cs="Arial"/>
                <w:bCs/>
                <w:szCs w:val="24"/>
                <w:lang w:eastAsia="en-GB"/>
              </w:rPr>
              <w:t>10-49 dwellings</w:t>
            </w:r>
          </w:p>
        </w:tc>
        <w:tc>
          <w:tcPr>
            <w:tcW w:w="1786" w:type="dxa"/>
            <w:shd w:val="clear" w:color="auto" w:fill="auto"/>
            <w:hideMark/>
          </w:tcPr>
          <w:p w14:paraId="38EDDF16" w14:textId="77777777" w:rsidR="00C402F4" w:rsidRPr="00764234" w:rsidRDefault="00C402F4" w:rsidP="00C402F4">
            <w:pPr>
              <w:jc w:val="center"/>
              <w:rPr>
                <w:rFonts w:eastAsia="Times New Roman" w:cs="Arial"/>
                <w:bCs/>
                <w:szCs w:val="24"/>
                <w:lang w:eastAsia="en-GB"/>
              </w:rPr>
            </w:pPr>
            <w:r w:rsidRPr="00764234">
              <w:rPr>
                <w:rFonts w:eastAsia="Times New Roman" w:cs="Arial"/>
                <w:bCs/>
                <w:szCs w:val="24"/>
                <w:lang w:eastAsia="en-GB"/>
              </w:rPr>
              <w:t>Large</w:t>
            </w:r>
            <w:r w:rsidR="00B323CE" w:rsidRPr="00764234">
              <w:rPr>
                <w:rFonts w:eastAsia="Times New Roman" w:cs="Arial"/>
                <w:bCs/>
                <w:szCs w:val="24"/>
                <w:lang w:eastAsia="en-GB"/>
              </w:rPr>
              <w:t xml:space="preserve"> sites</w:t>
            </w:r>
          </w:p>
          <w:p w14:paraId="1894228A" w14:textId="77777777" w:rsidR="00550C59" w:rsidRPr="00764234" w:rsidRDefault="00C402F4" w:rsidP="00550C59">
            <w:pPr>
              <w:jc w:val="center"/>
              <w:rPr>
                <w:rFonts w:eastAsia="Times New Roman" w:cs="Arial"/>
                <w:bCs/>
                <w:szCs w:val="24"/>
                <w:lang w:eastAsia="en-GB"/>
              </w:rPr>
            </w:pPr>
            <w:r w:rsidRPr="00764234">
              <w:rPr>
                <w:rFonts w:eastAsia="Times New Roman" w:cs="Arial"/>
                <w:bCs/>
                <w:szCs w:val="24"/>
                <w:lang w:eastAsia="en-GB"/>
              </w:rPr>
              <w:t>50+</w:t>
            </w:r>
          </w:p>
          <w:p w14:paraId="05FDCFEB" w14:textId="77777777" w:rsidR="00C402F4" w:rsidRPr="00764234" w:rsidRDefault="00C402F4" w:rsidP="00550C59">
            <w:pPr>
              <w:jc w:val="center"/>
              <w:rPr>
                <w:rFonts w:eastAsia="Times New Roman" w:cs="Arial"/>
                <w:bCs/>
                <w:szCs w:val="24"/>
                <w:lang w:eastAsia="en-GB"/>
              </w:rPr>
            </w:pPr>
            <w:r w:rsidRPr="00764234">
              <w:rPr>
                <w:rFonts w:eastAsia="Times New Roman" w:cs="Arial"/>
                <w:bCs/>
                <w:szCs w:val="24"/>
                <w:lang w:eastAsia="en-GB"/>
              </w:rPr>
              <w:t>dwellings</w:t>
            </w:r>
          </w:p>
        </w:tc>
        <w:tc>
          <w:tcPr>
            <w:tcW w:w="1787" w:type="dxa"/>
          </w:tcPr>
          <w:p w14:paraId="751E1E4B" w14:textId="77777777" w:rsidR="00C402F4" w:rsidRPr="00764234" w:rsidRDefault="00C402F4" w:rsidP="00C402F4">
            <w:pPr>
              <w:jc w:val="center"/>
              <w:rPr>
                <w:rFonts w:cs="Arial"/>
                <w:bCs/>
              </w:rPr>
            </w:pPr>
            <w:r w:rsidRPr="00764234">
              <w:rPr>
                <w:rFonts w:cs="Arial"/>
                <w:bCs/>
              </w:rPr>
              <w:t>Total</w:t>
            </w:r>
          </w:p>
        </w:tc>
      </w:tr>
      <w:tr w:rsidR="00C402F4" w:rsidRPr="00C11C15" w14:paraId="3235C9EE" w14:textId="77777777" w:rsidTr="001E0E5D">
        <w:trPr>
          <w:trHeight w:val="300"/>
        </w:trPr>
        <w:tc>
          <w:tcPr>
            <w:tcW w:w="1786" w:type="dxa"/>
            <w:shd w:val="clear" w:color="auto" w:fill="BFBFBF" w:themeFill="background1" w:themeFillShade="BF"/>
            <w:noWrap/>
          </w:tcPr>
          <w:p w14:paraId="1E10AC99" w14:textId="6E8A484A" w:rsidR="00C402F4" w:rsidRPr="00C11C15" w:rsidRDefault="00C402F4" w:rsidP="00C402F4">
            <w:pPr>
              <w:rPr>
                <w:rFonts w:eastAsia="Times New Roman" w:cs="Arial"/>
                <w:szCs w:val="24"/>
                <w:lang w:eastAsia="en-GB"/>
              </w:rPr>
            </w:pPr>
            <w:r w:rsidRPr="00C11C15">
              <w:rPr>
                <w:rFonts w:eastAsia="Times New Roman" w:cs="Arial"/>
                <w:szCs w:val="24"/>
                <w:lang w:eastAsia="en-GB"/>
              </w:rPr>
              <w:t>2009/10</w:t>
            </w:r>
          </w:p>
        </w:tc>
        <w:tc>
          <w:tcPr>
            <w:tcW w:w="1786" w:type="dxa"/>
            <w:shd w:val="clear" w:color="auto" w:fill="BFBFBF" w:themeFill="background1" w:themeFillShade="BF"/>
            <w:noWrap/>
          </w:tcPr>
          <w:p w14:paraId="00BA3A0F" w14:textId="16379CE2" w:rsidR="00C402F4" w:rsidRDefault="00C402F4" w:rsidP="00C402F4">
            <w:pPr>
              <w:jc w:val="center"/>
              <w:rPr>
                <w:rFonts w:cs="Arial"/>
              </w:rPr>
            </w:pPr>
            <w:r>
              <w:rPr>
                <w:rFonts w:cs="Arial"/>
              </w:rPr>
              <w:t>65</w:t>
            </w:r>
          </w:p>
        </w:tc>
        <w:tc>
          <w:tcPr>
            <w:tcW w:w="1786" w:type="dxa"/>
            <w:shd w:val="clear" w:color="auto" w:fill="BFBFBF" w:themeFill="background1" w:themeFillShade="BF"/>
            <w:noWrap/>
          </w:tcPr>
          <w:p w14:paraId="03520813" w14:textId="115F75D1" w:rsidR="00C402F4" w:rsidRDefault="00C402F4" w:rsidP="00C402F4">
            <w:pPr>
              <w:jc w:val="center"/>
              <w:rPr>
                <w:rFonts w:cs="Arial"/>
              </w:rPr>
            </w:pPr>
            <w:r>
              <w:rPr>
                <w:rFonts w:cs="Arial"/>
              </w:rPr>
              <w:t>56</w:t>
            </w:r>
          </w:p>
        </w:tc>
        <w:tc>
          <w:tcPr>
            <w:tcW w:w="1786" w:type="dxa"/>
            <w:shd w:val="clear" w:color="auto" w:fill="BFBFBF" w:themeFill="background1" w:themeFillShade="BF"/>
            <w:noWrap/>
          </w:tcPr>
          <w:p w14:paraId="7D0C8456" w14:textId="0C90281C" w:rsidR="00C402F4" w:rsidRDefault="00C402F4" w:rsidP="00C402F4">
            <w:pPr>
              <w:jc w:val="center"/>
              <w:rPr>
                <w:rFonts w:cs="Arial"/>
              </w:rPr>
            </w:pPr>
            <w:r>
              <w:rPr>
                <w:rFonts w:cs="Arial"/>
              </w:rPr>
              <w:t>85</w:t>
            </w:r>
          </w:p>
        </w:tc>
        <w:tc>
          <w:tcPr>
            <w:tcW w:w="1787" w:type="dxa"/>
            <w:shd w:val="clear" w:color="auto" w:fill="BFBFBF" w:themeFill="background1" w:themeFillShade="BF"/>
          </w:tcPr>
          <w:p w14:paraId="643DCEDC" w14:textId="44B5C695" w:rsidR="00C402F4" w:rsidRDefault="00C402F4" w:rsidP="00C402F4">
            <w:pPr>
              <w:jc w:val="center"/>
              <w:rPr>
                <w:rFonts w:cs="Arial"/>
              </w:rPr>
            </w:pPr>
            <w:r>
              <w:rPr>
                <w:rFonts w:cs="Arial"/>
              </w:rPr>
              <w:t>206</w:t>
            </w:r>
          </w:p>
        </w:tc>
      </w:tr>
      <w:tr w:rsidR="00C402F4" w:rsidRPr="00C11C15" w14:paraId="74A420B8" w14:textId="77777777" w:rsidTr="001E0E5D">
        <w:trPr>
          <w:trHeight w:val="300"/>
        </w:trPr>
        <w:tc>
          <w:tcPr>
            <w:tcW w:w="1786" w:type="dxa"/>
            <w:shd w:val="clear" w:color="auto" w:fill="BFBFBF" w:themeFill="background1" w:themeFillShade="BF"/>
            <w:noWrap/>
          </w:tcPr>
          <w:p w14:paraId="54907A8A" w14:textId="5EEA4FAD" w:rsidR="00C402F4" w:rsidRPr="00C11C15" w:rsidRDefault="00C402F4" w:rsidP="00C402F4">
            <w:pPr>
              <w:rPr>
                <w:rFonts w:eastAsia="Times New Roman" w:cs="Arial"/>
                <w:szCs w:val="24"/>
                <w:lang w:eastAsia="en-GB"/>
              </w:rPr>
            </w:pPr>
            <w:r w:rsidRPr="00C11C15">
              <w:rPr>
                <w:rFonts w:eastAsia="Times New Roman" w:cs="Arial"/>
                <w:szCs w:val="24"/>
                <w:lang w:eastAsia="en-GB"/>
              </w:rPr>
              <w:t>2010/11</w:t>
            </w:r>
          </w:p>
        </w:tc>
        <w:tc>
          <w:tcPr>
            <w:tcW w:w="1786" w:type="dxa"/>
            <w:shd w:val="clear" w:color="auto" w:fill="BFBFBF" w:themeFill="background1" w:themeFillShade="BF"/>
            <w:noWrap/>
          </w:tcPr>
          <w:p w14:paraId="45B9DA1F" w14:textId="48758133" w:rsidR="00C402F4" w:rsidRDefault="00C402F4" w:rsidP="00C402F4">
            <w:pPr>
              <w:jc w:val="center"/>
              <w:rPr>
                <w:rFonts w:cs="Arial"/>
              </w:rPr>
            </w:pPr>
            <w:r>
              <w:rPr>
                <w:rFonts w:cs="Arial"/>
              </w:rPr>
              <w:t>99</w:t>
            </w:r>
          </w:p>
        </w:tc>
        <w:tc>
          <w:tcPr>
            <w:tcW w:w="1786" w:type="dxa"/>
            <w:shd w:val="clear" w:color="auto" w:fill="BFBFBF" w:themeFill="background1" w:themeFillShade="BF"/>
            <w:noWrap/>
          </w:tcPr>
          <w:p w14:paraId="05F1B6E0" w14:textId="7E77794D" w:rsidR="00C402F4" w:rsidRDefault="00C402F4" w:rsidP="00C402F4">
            <w:pPr>
              <w:jc w:val="center"/>
              <w:rPr>
                <w:rFonts w:cs="Arial"/>
              </w:rPr>
            </w:pPr>
            <w:r>
              <w:rPr>
                <w:rFonts w:cs="Arial"/>
              </w:rPr>
              <w:t>92</w:t>
            </w:r>
          </w:p>
        </w:tc>
        <w:tc>
          <w:tcPr>
            <w:tcW w:w="1786" w:type="dxa"/>
            <w:shd w:val="clear" w:color="auto" w:fill="BFBFBF" w:themeFill="background1" w:themeFillShade="BF"/>
            <w:noWrap/>
          </w:tcPr>
          <w:p w14:paraId="25015A29" w14:textId="1B9356D9" w:rsidR="00C402F4" w:rsidRDefault="00C402F4" w:rsidP="00C402F4">
            <w:pPr>
              <w:jc w:val="center"/>
              <w:rPr>
                <w:rFonts w:cs="Arial"/>
              </w:rPr>
            </w:pPr>
            <w:r>
              <w:rPr>
                <w:rFonts w:cs="Arial"/>
              </w:rPr>
              <w:t>11</w:t>
            </w:r>
          </w:p>
        </w:tc>
        <w:tc>
          <w:tcPr>
            <w:tcW w:w="1787" w:type="dxa"/>
            <w:shd w:val="clear" w:color="auto" w:fill="BFBFBF" w:themeFill="background1" w:themeFillShade="BF"/>
          </w:tcPr>
          <w:p w14:paraId="3FECA5DF" w14:textId="7C95D82E" w:rsidR="00C402F4" w:rsidRDefault="00C402F4" w:rsidP="00C402F4">
            <w:pPr>
              <w:jc w:val="center"/>
              <w:rPr>
                <w:rFonts w:cs="Arial"/>
              </w:rPr>
            </w:pPr>
            <w:r>
              <w:rPr>
                <w:rFonts w:cs="Arial"/>
              </w:rPr>
              <w:t>202</w:t>
            </w:r>
          </w:p>
        </w:tc>
      </w:tr>
      <w:tr w:rsidR="00C402F4" w:rsidRPr="00C11C15" w14:paraId="1903BEFB" w14:textId="77777777" w:rsidTr="001D20B9">
        <w:trPr>
          <w:trHeight w:val="300"/>
        </w:trPr>
        <w:tc>
          <w:tcPr>
            <w:tcW w:w="1786" w:type="dxa"/>
            <w:shd w:val="clear" w:color="auto" w:fill="BFBFBF" w:themeFill="background1" w:themeFillShade="BF"/>
            <w:noWrap/>
            <w:hideMark/>
          </w:tcPr>
          <w:p w14:paraId="57882256" w14:textId="77777777" w:rsidR="00C402F4" w:rsidRPr="00C11C15" w:rsidRDefault="00C402F4" w:rsidP="00C402F4">
            <w:pPr>
              <w:rPr>
                <w:rFonts w:eastAsia="Times New Roman" w:cs="Arial"/>
                <w:szCs w:val="24"/>
                <w:lang w:eastAsia="en-GB"/>
              </w:rPr>
            </w:pPr>
            <w:r w:rsidRPr="00C11C15">
              <w:rPr>
                <w:rFonts w:eastAsia="Times New Roman" w:cs="Arial"/>
                <w:szCs w:val="24"/>
                <w:lang w:eastAsia="en-GB"/>
              </w:rPr>
              <w:t>2011/12</w:t>
            </w:r>
          </w:p>
        </w:tc>
        <w:tc>
          <w:tcPr>
            <w:tcW w:w="1786" w:type="dxa"/>
            <w:shd w:val="clear" w:color="auto" w:fill="BFBFBF" w:themeFill="background1" w:themeFillShade="BF"/>
            <w:noWrap/>
            <w:hideMark/>
          </w:tcPr>
          <w:p w14:paraId="1C9A21E0" w14:textId="77777777" w:rsidR="00C402F4" w:rsidRDefault="00C402F4" w:rsidP="00C402F4">
            <w:pPr>
              <w:jc w:val="center"/>
              <w:rPr>
                <w:rFonts w:cs="Arial"/>
              </w:rPr>
            </w:pPr>
            <w:r>
              <w:rPr>
                <w:rFonts w:cs="Arial"/>
              </w:rPr>
              <w:t>61</w:t>
            </w:r>
          </w:p>
        </w:tc>
        <w:tc>
          <w:tcPr>
            <w:tcW w:w="1786" w:type="dxa"/>
            <w:shd w:val="clear" w:color="auto" w:fill="BFBFBF" w:themeFill="background1" w:themeFillShade="BF"/>
            <w:noWrap/>
            <w:hideMark/>
          </w:tcPr>
          <w:p w14:paraId="60123FAD" w14:textId="77777777" w:rsidR="00C402F4" w:rsidRDefault="00C402F4" w:rsidP="00C402F4">
            <w:pPr>
              <w:jc w:val="center"/>
              <w:rPr>
                <w:rFonts w:cs="Arial"/>
              </w:rPr>
            </w:pPr>
            <w:r>
              <w:rPr>
                <w:rFonts w:cs="Arial"/>
              </w:rPr>
              <w:t>90</w:t>
            </w:r>
          </w:p>
        </w:tc>
        <w:tc>
          <w:tcPr>
            <w:tcW w:w="1786" w:type="dxa"/>
            <w:shd w:val="clear" w:color="auto" w:fill="BFBFBF" w:themeFill="background1" w:themeFillShade="BF"/>
            <w:noWrap/>
            <w:hideMark/>
          </w:tcPr>
          <w:p w14:paraId="3721BD9E" w14:textId="77777777" w:rsidR="00C402F4" w:rsidRDefault="00C402F4" w:rsidP="00C402F4">
            <w:pPr>
              <w:jc w:val="center"/>
              <w:rPr>
                <w:rFonts w:cs="Arial"/>
              </w:rPr>
            </w:pPr>
            <w:r>
              <w:rPr>
                <w:rFonts w:cs="Arial"/>
              </w:rPr>
              <w:t>1</w:t>
            </w:r>
          </w:p>
        </w:tc>
        <w:tc>
          <w:tcPr>
            <w:tcW w:w="1787" w:type="dxa"/>
            <w:shd w:val="clear" w:color="auto" w:fill="BFBFBF" w:themeFill="background1" w:themeFillShade="BF"/>
          </w:tcPr>
          <w:p w14:paraId="24743436" w14:textId="77777777" w:rsidR="00C402F4" w:rsidRDefault="00C402F4" w:rsidP="00C402F4">
            <w:pPr>
              <w:jc w:val="center"/>
              <w:rPr>
                <w:rFonts w:cs="Arial"/>
              </w:rPr>
            </w:pPr>
            <w:r>
              <w:rPr>
                <w:rFonts w:cs="Arial"/>
              </w:rPr>
              <w:t>152</w:t>
            </w:r>
          </w:p>
        </w:tc>
      </w:tr>
      <w:tr w:rsidR="00C402F4" w:rsidRPr="00C11C15" w14:paraId="2019C256" w14:textId="77777777" w:rsidTr="00B6042C">
        <w:trPr>
          <w:trHeight w:val="300"/>
        </w:trPr>
        <w:tc>
          <w:tcPr>
            <w:tcW w:w="1786" w:type="dxa"/>
            <w:shd w:val="clear" w:color="auto" w:fill="BFBFBF" w:themeFill="background1" w:themeFillShade="BF"/>
            <w:noWrap/>
            <w:hideMark/>
          </w:tcPr>
          <w:p w14:paraId="3FC261F9" w14:textId="77777777" w:rsidR="00C402F4" w:rsidRPr="00C11C15" w:rsidRDefault="00C402F4" w:rsidP="00C402F4">
            <w:pPr>
              <w:rPr>
                <w:rFonts w:eastAsia="Times New Roman" w:cs="Arial"/>
                <w:szCs w:val="24"/>
                <w:lang w:eastAsia="en-GB"/>
              </w:rPr>
            </w:pPr>
            <w:r w:rsidRPr="00C11C15">
              <w:rPr>
                <w:rFonts w:eastAsia="Times New Roman" w:cs="Arial"/>
                <w:szCs w:val="24"/>
                <w:lang w:eastAsia="en-GB"/>
              </w:rPr>
              <w:t>2012/13</w:t>
            </w:r>
          </w:p>
        </w:tc>
        <w:tc>
          <w:tcPr>
            <w:tcW w:w="1786" w:type="dxa"/>
            <w:shd w:val="clear" w:color="auto" w:fill="BFBFBF" w:themeFill="background1" w:themeFillShade="BF"/>
            <w:noWrap/>
            <w:hideMark/>
          </w:tcPr>
          <w:p w14:paraId="1F356F8A" w14:textId="77777777" w:rsidR="00C402F4" w:rsidRDefault="00C402F4" w:rsidP="00C402F4">
            <w:pPr>
              <w:jc w:val="center"/>
              <w:rPr>
                <w:rFonts w:cs="Arial"/>
              </w:rPr>
            </w:pPr>
            <w:r>
              <w:rPr>
                <w:rFonts w:cs="Arial"/>
              </w:rPr>
              <w:t>29</w:t>
            </w:r>
          </w:p>
        </w:tc>
        <w:tc>
          <w:tcPr>
            <w:tcW w:w="1786" w:type="dxa"/>
            <w:shd w:val="clear" w:color="auto" w:fill="BFBFBF" w:themeFill="background1" w:themeFillShade="BF"/>
            <w:noWrap/>
            <w:hideMark/>
          </w:tcPr>
          <w:p w14:paraId="6004D20E" w14:textId="77777777" w:rsidR="00C402F4" w:rsidRDefault="00C402F4" w:rsidP="00C402F4">
            <w:pPr>
              <w:jc w:val="center"/>
              <w:rPr>
                <w:rFonts w:cs="Arial"/>
              </w:rPr>
            </w:pPr>
            <w:r>
              <w:rPr>
                <w:rFonts w:cs="Arial"/>
              </w:rPr>
              <w:t>19</w:t>
            </w:r>
          </w:p>
        </w:tc>
        <w:tc>
          <w:tcPr>
            <w:tcW w:w="1786" w:type="dxa"/>
            <w:shd w:val="clear" w:color="auto" w:fill="BFBFBF" w:themeFill="background1" w:themeFillShade="BF"/>
            <w:noWrap/>
            <w:hideMark/>
          </w:tcPr>
          <w:p w14:paraId="33FB4385" w14:textId="77777777" w:rsidR="00C402F4" w:rsidRDefault="00C402F4" w:rsidP="00C402F4">
            <w:pPr>
              <w:jc w:val="center"/>
              <w:rPr>
                <w:rFonts w:cs="Arial"/>
              </w:rPr>
            </w:pPr>
            <w:r>
              <w:rPr>
                <w:rFonts w:cs="Arial"/>
              </w:rPr>
              <w:t>9</w:t>
            </w:r>
          </w:p>
        </w:tc>
        <w:tc>
          <w:tcPr>
            <w:tcW w:w="1787" w:type="dxa"/>
            <w:shd w:val="clear" w:color="auto" w:fill="BFBFBF" w:themeFill="background1" w:themeFillShade="BF"/>
          </w:tcPr>
          <w:p w14:paraId="495A1663" w14:textId="77777777" w:rsidR="00C402F4" w:rsidRDefault="00C402F4" w:rsidP="00C402F4">
            <w:pPr>
              <w:jc w:val="center"/>
              <w:rPr>
                <w:rFonts w:cs="Arial"/>
              </w:rPr>
            </w:pPr>
            <w:r>
              <w:rPr>
                <w:rFonts w:cs="Arial"/>
              </w:rPr>
              <w:t>57</w:t>
            </w:r>
          </w:p>
        </w:tc>
      </w:tr>
      <w:tr w:rsidR="00C402F4" w:rsidRPr="00C11C15" w14:paraId="5BCAEB8E" w14:textId="77777777" w:rsidTr="00550C59">
        <w:trPr>
          <w:trHeight w:val="300"/>
        </w:trPr>
        <w:tc>
          <w:tcPr>
            <w:tcW w:w="1786" w:type="dxa"/>
            <w:shd w:val="clear" w:color="auto" w:fill="auto"/>
            <w:noWrap/>
            <w:hideMark/>
          </w:tcPr>
          <w:p w14:paraId="17412613" w14:textId="77777777" w:rsidR="00C402F4" w:rsidRPr="00C11C15" w:rsidRDefault="00C402F4" w:rsidP="00C402F4">
            <w:pPr>
              <w:rPr>
                <w:rFonts w:eastAsia="Times New Roman" w:cs="Arial"/>
                <w:szCs w:val="24"/>
                <w:lang w:eastAsia="en-GB"/>
              </w:rPr>
            </w:pPr>
            <w:r w:rsidRPr="00C11C15">
              <w:rPr>
                <w:rFonts w:eastAsia="Times New Roman" w:cs="Arial"/>
                <w:szCs w:val="24"/>
                <w:lang w:eastAsia="en-GB"/>
              </w:rPr>
              <w:t>2013/14</w:t>
            </w:r>
          </w:p>
        </w:tc>
        <w:tc>
          <w:tcPr>
            <w:tcW w:w="1786" w:type="dxa"/>
            <w:shd w:val="clear" w:color="auto" w:fill="auto"/>
            <w:noWrap/>
            <w:hideMark/>
          </w:tcPr>
          <w:p w14:paraId="395E6FA9" w14:textId="77777777" w:rsidR="00C402F4" w:rsidRDefault="00C402F4" w:rsidP="00C402F4">
            <w:pPr>
              <w:jc w:val="center"/>
              <w:rPr>
                <w:rFonts w:cs="Arial"/>
              </w:rPr>
            </w:pPr>
            <w:r>
              <w:rPr>
                <w:rFonts w:cs="Arial"/>
              </w:rPr>
              <w:t>74</w:t>
            </w:r>
          </w:p>
        </w:tc>
        <w:tc>
          <w:tcPr>
            <w:tcW w:w="1786" w:type="dxa"/>
            <w:shd w:val="clear" w:color="auto" w:fill="auto"/>
            <w:noWrap/>
            <w:hideMark/>
          </w:tcPr>
          <w:p w14:paraId="76EE682E" w14:textId="77777777" w:rsidR="00C402F4" w:rsidRDefault="00C402F4" w:rsidP="00C402F4">
            <w:pPr>
              <w:jc w:val="center"/>
              <w:rPr>
                <w:rFonts w:cs="Arial"/>
              </w:rPr>
            </w:pPr>
            <w:r>
              <w:rPr>
                <w:rFonts w:cs="Arial"/>
              </w:rPr>
              <w:t>40</w:t>
            </w:r>
          </w:p>
        </w:tc>
        <w:tc>
          <w:tcPr>
            <w:tcW w:w="1786" w:type="dxa"/>
            <w:shd w:val="clear" w:color="auto" w:fill="auto"/>
            <w:noWrap/>
            <w:hideMark/>
          </w:tcPr>
          <w:p w14:paraId="331F98FC" w14:textId="77777777" w:rsidR="00C402F4" w:rsidRDefault="00C402F4" w:rsidP="00C402F4">
            <w:pPr>
              <w:jc w:val="center"/>
              <w:rPr>
                <w:rFonts w:cs="Arial"/>
              </w:rPr>
            </w:pPr>
            <w:r>
              <w:rPr>
                <w:rFonts w:cs="Arial"/>
              </w:rPr>
              <w:t>16</w:t>
            </w:r>
          </w:p>
        </w:tc>
        <w:tc>
          <w:tcPr>
            <w:tcW w:w="1787" w:type="dxa"/>
          </w:tcPr>
          <w:p w14:paraId="5E3CC127" w14:textId="77777777" w:rsidR="00C402F4" w:rsidRDefault="00C402F4" w:rsidP="00C402F4">
            <w:pPr>
              <w:jc w:val="center"/>
              <w:rPr>
                <w:rFonts w:cs="Arial"/>
              </w:rPr>
            </w:pPr>
            <w:r>
              <w:rPr>
                <w:rFonts w:cs="Arial"/>
              </w:rPr>
              <w:t>130</w:t>
            </w:r>
          </w:p>
        </w:tc>
      </w:tr>
      <w:tr w:rsidR="00C402F4" w:rsidRPr="00C11C15" w14:paraId="3CBEDA4A" w14:textId="77777777" w:rsidTr="00550C59">
        <w:trPr>
          <w:trHeight w:val="300"/>
        </w:trPr>
        <w:tc>
          <w:tcPr>
            <w:tcW w:w="1786" w:type="dxa"/>
            <w:shd w:val="clear" w:color="auto" w:fill="auto"/>
            <w:noWrap/>
            <w:hideMark/>
          </w:tcPr>
          <w:p w14:paraId="12BB8021" w14:textId="77777777" w:rsidR="00C402F4" w:rsidRPr="00C11C15" w:rsidRDefault="00C402F4" w:rsidP="00C402F4">
            <w:pPr>
              <w:rPr>
                <w:rFonts w:eastAsia="Times New Roman" w:cs="Arial"/>
                <w:szCs w:val="24"/>
                <w:lang w:eastAsia="en-GB"/>
              </w:rPr>
            </w:pPr>
            <w:r w:rsidRPr="00C11C15">
              <w:rPr>
                <w:rFonts w:eastAsia="Times New Roman" w:cs="Arial"/>
                <w:szCs w:val="24"/>
                <w:lang w:eastAsia="en-GB"/>
              </w:rPr>
              <w:t>2014/15</w:t>
            </w:r>
          </w:p>
        </w:tc>
        <w:tc>
          <w:tcPr>
            <w:tcW w:w="1786" w:type="dxa"/>
            <w:shd w:val="clear" w:color="auto" w:fill="auto"/>
            <w:noWrap/>
            <w:hideMark/>
          </w:tcPr>
          <w:p w14:paraId="3E2F27CA" w14:textId="77777777" w:rsidR="00C402F4" w:rsidRDefault="00C402F4" w:rsidP="00C402F4">
            <w:pPr>
              <w:jc w:val="center"/>
              <w:rPr>
                <w:rFonts w:cs="Arial"/>
              </w:rPr>
            </w:pPr>
            <w:r>
              <w:rPr>
                <w:rFonts w:cs="Arial"/>
              </w:rPr>
              <w:t>63</w:t>
            </w:r>
          </w:p>
        </w:tc>
        <w:tc>
          <w:tcPr>
            <w:tcW w:w="1786" w:type="dxa"/>
            <w:shd w:val="clear" w:color="auto" w:fill="auto"/>
            <w:noWrap/>
            <w:hideMark/>
          </w:tcPr>
          <w:p w14:paraId="321633E5" w14:textId="77777777" w:rsidR="00C402F4" w:rsidRDefault="00C402F4" w:rsidP="00C402F4">
            <w:pPr>
              <w:jc w:val="center"/>
              <w:rPr>
                <w:rFonts w:cs="Arial"/>
              </w:rPr>
            </w:pPr>
            <w:r>
              <w:rPr>
                <w:rFonts w:cs="Arial"/>
              </w:rPr>
              <w:t>23</w:t>
            </w:r>
          </w:p>
        </w:tc>
        <w:tc>
          <w:tcPr>
            <w:tcW w:w="1786" w:type="dxa"/>
            <w:shd w:val="clear" w:color="auto" w:fill="auto"/>
            <w:noWrap/>
            <w:hideMark/>
          </w:tcPr>
          <w:p w14:paraId="18D1A4EC" w14:textId="77777777" w:rsidR="00C402F4" w:rsidRDefault="00C402F4" w:rsidP="00C402F4">
            <w:pPr>
              <w:jc w:val="center"/>
              <w:rPr>
                <w:rFonts w:cs="Arial"/>
              </w:rPr>
            </w:pPr>
            <w:r>
              <w:rPr>
                <w:rFonts w:cs="Arial"/>
              </w:rPr>
              <w:t>71</w:t>
            </w:r>
          </w:p>
        </w:tc>
        <w:tc>
          <w:tcPr>
            <w:tcW w:w="1787" w:type="dxa"/>
          </w:tcPr>
          <w:p w14:paraId="3DB0A536" w14:textId="77777777" w:rsidR="00C402F4" w:rsidRDefault="00C402F4" w:rsidP="00C402F4">
            <w:pPr>
              <w:jc w:val="center"/>
              <w:rPr>
                <w:rFonts w:cs="Arial"/>
              </w:rPr>
            </w:pPr>
            <w:r>
              <w:rPr>
                <w:rFonts w:cs="Arial"/>
              </w:rPr>
              <w:t>157</w:t>
            </w:r>
          </w:p>
        </w:tc>
      </w:tr>
      <w:tr w:rsidR="00C402F4" w:rsidRPr="00C11C15" w14:paraId="157EAE1C" w14:textId="77777777" w:rsidTr="00550C59">
        <w:trPr>
          <w:trHeight w:val="300"/>
        </w:trPr>
        <w:tc>
          <w:tcPr>
            <w:tcW w:w="1786" w:type="dxa"/>
            <w:shd w:val="clear" w:color="auto" w:fill="auto"/>
            <w:noWrap/>
            <w:hideMark/>
          </w:tcPr>
          <w:p w14:paraId="00C92247" w14:textId="77777777" w:rsidR="00C402F4" w:rsidRPr="00C11C15" w:rsidRDefault="00C402F4" w:rsidP="00C402F4">
            <w:pPr>
              <w:rPr>
                <w:rFonts w:eastAsia="Times New Roman" w:cs="Arial"/>
                <w:szCs w:val="24"/>
                <w:lang w:eastAsia="en-GB"/>
              </w:rPr>
            </w:pPr>
            <w:r w:rsidRPr="00C11C15">
              <w:rPr>
                <w:rFonts w:eastAsia="Times New Roman" w:cs="Arial"/>
                <w:szCs w:val="24"/>
                <w:lang w:eastAsia="en-GB"/>
              </w:rPr>
              <w:t>2015/16</w:t>
            </w:r>
          </w:p>
        </w:tc>
        <w:tc>
          <w:tcPr>
            <w:tcW w:w="1786" w:type="dxa"/>
            <w:shd w:val="clear" w:color="auto" w:fill="auto"/>
            <w:noWrap/>
            <w:hideMark/>
          </w:tcPr>
          <w:p w14:paraId="3F34A5A8" w14:textId="77777777" w:rsidR="00C402F4" w:rsidRDefault="00C402F4" w:rsidP="00C402F4">
            <w:pPr>
              <w:jc w:val="center"/>
              <w:rPr>
                <w:rFonts w:cs="Arial"/>
              </w:rPr>
            </w:pPr>
            <w:r>
              <w:rPr>
                <w:rFonts w:cs="Arial"/>
              </w:rPr>
              <w:t>53</w:t>
            </w:r>
          </w:p>
        </w:tc>
        <w:tc>
          <w:tcPr>
            <w:tcW w:w="1786" w:type="dxa"/>
            <w:shd w:val="clear" w:color="auto" w:fill="auto"/>
            <w:noWrap/>
            <w:hideMark/>
          </w:tcPr>
          <w:p w14:paraId="61C3E9C8" w14:textId="77777777" w:rsidR="00C402F4" w:rsidRDefault="00C402F4" w:rsidP="00C402F4">
            <w:pPr>
              <w:jc w:val="center"/>
              <w:rPr>
                <w:rFonts w:cs="Arial"/>
              </w:rPr>
            </w:pPr>
            <w:r>
              <w:rPr>
                <w:rFonts w:cs="Arial"/>
              </w:rPr>
              <w:t>29</w:t>
            </w:r>
          </w:p>
        </w:tc>
        <w:tc>
          <w:tcPr>
            <w:tcW w:w="1786" w:type="dxa"/>
            <w:shd w:val="clear" w:color="auto" w:fill="auto"/>
            <w:noWrap/>
            <w:hideMark/>
          </w:tcPr>
          <w:p w14:paraId="33EC9B76" w14:textId="77777777" w:rsidR="00C402F4" w:rsidRDefault="00C402F4" w:rsidP="00C402F4">
            <w:pPr>
              <w:jc w:val="center"/>
              <w:rPr>
                <w:rFonts w:cs="Arial"/>
              </w:rPr>
            </w:pPr>
            <w:r>
              <w:rPr>
                <w:rFonts w:cs="Arial"/>
              </w:rPr>
              <w:t>58</w:t>
            </w:r>
          </w:p>
        </w:tc>
        <w:tc>
          <w:tcPr>
            <w:tcW w:w="1787" w:type="dxa"/>
          </w:tcPr>
          <w:p w14:paraId="1714D6BC" w14:textId="77777777" w:rsidR="00C402F4" w:rsidRDefault="00C402F4" w:rsidP="00C402F4">
            <w:pPr>
              <w:jc w:val="center"/>
              <w:rPr>
                <w:rFonts w:cs="Arial"/>
              </w:rPr>
            </w:pPr>
            <w:r>
              <w:rPr>
                <w:rFonts w:cs="Arial"/>
              </w:rPr>
              <w:t>140</w:t>
            </w:r>
          </w:p>
        </w:tc>
      </w:tr>
      <w:tr w:rsidR="00C402F4" w:rsidRPr="00C11C15" w14:paraId="34EAF241" w14:textId="77777777" w:rsidTr="00550C59">
        <w:trPr>
          <w:trHeight w:val="300"/>
        </w:trPr>
        <w:tc>
          <w:tcPr>
            <w:tcW w:w="1786" w:type="dxa"/>
            <w:shd w:val="clear" w:color="auto" w:fill="auto"/>
            <w:noWrap/>
            <w:hideMark/>
          </w:tcPr>
          <w:p w14:paraId="37EA2A69" w14:textId="77777777" w:rsidR="00C402F4" w:rsidRPr="00C11C15" w:rsidRDefault="00C402F4" w:rsidP="00C402F4">
            <w:pPr>
              <w:rPr>
                <w:rFonts w:eastAsia="Times New Roman" w:cs="Arial"/>
                <w:szCs w:val="24"/>
                <w:lang w:eastAsia="en-GB"/>
              </w:rPr>
            </w:pPr>
            <w:r w:rsidRPr="00C11C15">
              <w:rPr>
                <w:rFonts w:eastAsia="Times New Roman" w:cs="Arial"/>
                <w:szCs w:val="24"/>
                <w:lang w:eastAsia="en-GB"/>
              </w:rPr>
              <w:t>2016/17</w:t>
            </w:r>
          </w:p>
        </w:tc>
        <w:tc>
          <w:tcPr>
            <w:tcW w:w="1786" w:type="dxa"/>
            <w:shd w:val="clear" w:color="auto" w:fill="auto"/>
            <w:noWrap/>
            <w:hideMark/>
          </w:tcPr>
          <w:p w14:paraId="2D69C780" w14:textId="77777777" w:rsidR="00C402F4" w:rsidRDefault="00C402F4" w:rsidP="00C402F4">
            <w:pPr>
              <w:jc w:val="center"/>
              <w:rPr>
                <w:rFonts w:cs="Arial"/>
              </w:rPr>
            </w:pPr>
            <w:r>
              <w:rPr>
                <w:rFonts w:cs="Arial"/>
              </w:rPr>
              <w:t>75</w:t>
            </w:r>
          </w:p>
        </w:tc>
        <w:tc>
          <w:tcPr>
            <w:tcW w:w="1786" w:type="dxa"/>
            <w:shd w:val="clear" w:color="auto" w:fill="auto"/>
            <w:noWrap/>
            <w:hideMark/>
          </w:tcPr>
          <w:p w14:paraId="4E174CAB" w14:textId="77777777" w:rsidR="00C402F4" w:rsidRDefault="00C402F4" w:rsidP="00C402F4">
            <w:pPr>
              <w:jc w:val="center"/>
              <w:rPr>
                <w:rFonts w:cs="Arial"/>
              </w:rPr>
            </w:pPr>
            <w:r>
              <w:rPr>
                <w:rFonts w:cs="Arial"/>
              </w:rPr>
              <w:t>65</w:t>
            </w:r>
          </w:p>
        </w:tc>
        <w:tc>
          <w:tcPr>
            <w:tcW w:w="1786" w:type="dxa"/>
            <w:shd w:val="clear" w:color="auto" w:fill="auto"/>
            <w:noWrap/>
            <w:hideMark/>
          </w:tcPr>
          <w:p w14:paraId="6EE52DC9" w14:textId="77777777" w:rsidR="00C402F4" w:rsidRDefault="00C402F4" w:rsidP="00C402F4">
            <w:pPr>
              <w:jc w:val="center"/>
              <w:rPr>
                <w:rFonts w:cs="Arial"/>
              </w:rPr>
            </w:pPr>
            <w:r>
              <w:rPr>
                <w:rFonts w:cs="Arial"/>
              </w:rPr>
              <w:t>1</w:t>
            </w:r>
          </w:p>
        </w:tc>
        <w:tc>
          <w:tcPr>
            <w:tcW w:w="1787" w:type="dxa"/>
          </w:tcPr>
          <w:p w14:paraId="691A66E9" w14:textId="77777777" w:rsidR="00C402F4" w:rsidRDefault="00C402F4" w:rsidP="00C402F4">
            <w:pPr>
              <w:jc w:val="center"/>
              <w:rPr>
                <w:rFonts w:cs="Arial"/>
              </w:rPr>
            </w:pPr>
            <w:r>
              <w:rPr>
                <w:rFonts w:cs="Arial"/>
              </w:rPr>
              <w:t>141</w:t>
            </w:r>
          </w:p>
        </w:tc>
      </w:tr>
      <w:tr w:rsidR="00C402F4" w:rsidRPr="00C11C15" w14:paraId="269097FF" w14:textId="77777777" w:rsidTr="00550C59">
        <w:trPr>
          <w:trHeight w:val="300"/>
        </w:trPr>
        <w:tc>
          <w:tcPr>
            <w:tcW w:w="1786" w:type="dxa"/>
            <w:shd w:val="clear" w:color="auto" w:fill="auto"/>
            <w:noWrap/>
            <w:hideMark/>
          </w:tcPr>
          <w:p w14:paraId="345C79E3" w14:textId="77777777" w:rsidR="00C402F4" w:rsidRPr="00C11C15" w:rsidRDefault="00C402F4" w:rsidP="00C402F4">
            <w:pPr>
              <w:rPr>
                <w:rFonts w:eastAsia="Times New Roman" w:cs="Arial"/>
                <w:szCs w:val="24"/>
                <w:lang w:eastAsia="en-GB"/>
              </w:rPr>
            </w:pPr>
            <w:r w:rsidRPr="00C11C15">
              <w:rPr>
                <w:rFonts w:eastAsia="Times New Roman" w:cs="Arial"/>
                <w:szCs w:val="24"/>
                <w:lang w:eastAsia="en-GB"/>
              </w:rPr>
              <w:t>2017/18</w:t>
            </w:r>
          </w:p>
        </w:tc>
        <w:tc>
          <w:tcPr>
            <w:tcW w:w="1786" w:type="dxa"/>
            <w:shd w:val="clear" w:color="auto" w:fill="auto"/>
            <w:noWrap/>
            <w:hideMark/>
          </w:tcPr>
          <w:p w14:paraId="5ABCBDE0" w14:textId="77777777" w:rsidR="00C402F4" w:rsidRDefault="00C402F4" w:rsidP="00C402F4">
            <w:pPr>
              <w:jc w:val="center"/>
              <w:rPr>
                <w:rFonts w:cs="Arial"/>
              </w:rPr>
            </w:pPr>
            <w:r>
              <w:rPr>
                <w:rFonts w:cs="Arial"/>
              </w:rPr>
              <w:t>92</w:t>
            </w:r>
          </w:p>
        </w:tc>
        <w:tc>
          <w:tcPr>
            <w:tcW w:w="1786" w:type="dxa"/>
            <w:shd w:val="clear" w:color="auto" w:fill="auto"/>
            <w:noWrap/>
            <w:hideMark/>
          </w:tcPr>
          <w:p w14:paraId="15CD0DFF" w14:textId="77777777" w:rsidR="00C402F4" w:rsidRDefault="00C402F4" w:rsidP="00C402F4">
            <w:pPr>
              <w:jc w:val="center"/>
              <w:rPr>
                <w:rFonts w:cs="Arial"/>
              </w:rPr>
            </w:pPr>
            <w:r>
              <w:rPr>
                <w:rFonts w:cs="Arial"/>
              </w:rPr>
              <w:t>70</w:t>
            </w:r>
          </w:p>
        </w:tc>
        <w:tc>
          <w:tcPr>
            <w:tcW w:w="1786" w:type="dxa"/>
            <w:shd w:val="clear" w:color="auto" w:fill="auto"/>
            <w:noWrap/>
            <w:hideMark/>
          </w:tcPr>
          <w:p w14:paraId="769EBE62" w14:textId="77777777" w:rsidR="00C402F4" w:rsidRDefault="00C402F4" w:rsidP="00C402F4">
            <w:pPr>
              <w:jc w:val="center"/>
              <w:rPr>
                <w:rFonts w:cs="Arial"/>
              </w:rPr>
            </w:pPr>
            <w:r>
              <w:rPr>
                <w:rFonts w:cs="Arial"/>
              </w:rPr>
              <w:t>3</w:t>
            </w:r>
          </w:p>
        </w:tc>
        <w:tc>
          <w:tcPr>
            <w:tcW w:w="1787" w:type="dxa"/>
          </w:tcPr>
          <w:p w14:paraId="42FAB222" w14:textId="77777777" w:rsidR="00C402F4" w:rsidRDefault="00C402F4" w:rsidP="00C402F4">
            <w:pPr>
              <w:jc w:val="center"/>
              <w:rPr>
                <w:rFonts w:cs="Arial"/>
              </w:rPr>
            </w:pPr>
            <w:r>
              <w:rPr>
                <w:rFonts w:cs="Arial"/>
              </w:rPr>
              <w:t>165</w:t>
            </w:r>
          </w:p>
        </w:tc>
      </w:tr>
      <w:tr w:rsidR="00C402F4" w:rsidRPr="00C11C15" w14:paraId="33C51062" w14:textId="77777777" w:rsidTr="00550C59">
        <w:trPr>
          <w:trHeight w:val="300"/>
        </w:trPr>
        <w:tc>
          <w:tcPr>
            <w:tcW w:w="1786" w:type="dxa"/>
            <w:shd w:val="clear" w:color="auto" w:fill="auto"/>
            <w:noWrap/>
            <w:hideMark/>
          </w:tcPr>
          <w:p w14:paraId="1423DCB8" w14:textId="77777777" w:rsidR="00C402F4" w:rsidRPr="00C11C15" w:rsidRDefault="00C402F4" w:rsidP="00C402F4">
            <w:pPr>
              <w:rPr>
                <w:rFonts w:eastAsia="Times New Roman" w:cs="Arial"/>
                <w:szCs w:val="24"/>
                <w:lang w:eastAsia="en-GB"/>
              </w:rPr>
            </w:pPr>
            <w:r w:rsidRPr="00C11C15">
              <w:rPr>
                <w:rFonts w:eastAsia="Times New Roman" w:cs="Arial"/>
                <w:szCs w:val="24"/>
                <w:lang w:eastAsia="en-GB"/>
              </w:rPr>
              <w:t>2018/19</w:t>
            </w:r>
          </w:p>
        </w:tc>
        <w:tc>
          <w:tcPr>
            <w:tcW w:w="1786" w:type="dxa"/>
            <w:shd w:val="clear" w:color="auto" w:fill="auto"/>
            <w:noWrap/>
            <w:hideMark/>
          </w:tcPr>
          <w:p w14:paraId="3ED73278" w14:textId="77777777" w:rsidR="00C402F4" w:rsidRDefault="00C402F4" w:rsidP="00C402F4">
            <w:pPr>
              <w:jc w:val="center"/>
              <w:rPr>
                <w:rFonts w:cs="Arial"/>
              </w:rPr>
            </w:pPr>
            <w:r>
              <w:rPr>
                <w:rFonts w:cs="Arial"/>
              </w:rPr>
              <w:t>67</w:t>
            </w:r>
          </w:p>
        </w:tc>
        <w:tc>
          <w:tcPr>
            <w:tcW w:w="1786" w:type="dxa"/>
            <w:shd w:val="clear" w:color="auto" w:fill="auto"/>
            <w:noWrap/>
            <w:hideMark/>
          </w:tcPr>
          <w:p w14:paraId="60B80533" w14:textId="77777777" w:rsidR="00C402F4" w:rsidRDefault="00C402F4" w:rsidP="00C402F4">
            <w:pPr>
              <w:jc w:val="center"/>
              <w:rPr>
                <w:rFonts w:cs="Arial"/>
              </w:rPr>
            </w:pPr>
            <w:r>
              <w:rPr>
                <w:rFonts w:cs="Arial"/>
              </w:rPr>
              <w:t>66</w:t>
            </w:r>
          </w:p>
        </w:tc>
        <w:tc>
          <w:tcPr>
            <w:tcW w:w="1786" w:type="dxa"/>
            <w:shd w:val="clear" w:color="auto" w:fill="auto"/>
            <w:noWrap/>
            <w:hideMark/>
          </w:tcPr>
          <w:p w14:paraId="0EAC6D0B" w14:textId="77777777" w:rsidR="00C402F4" w:rsidRDefault="00C402F4" w:rsidP="00C402F4">
            <w:pPr>
              <w:jc w:val="center"/>
              <w:rPr>
                <w:rFonts w:cs="Arial"/>
              </w:rPr>
            </w:pPr>
            <w:r>
              <w:rPr>
                <w:rFonts w:cs="Arial"/>
              </w:rPr>
              <w:t>0</w:t>
            </w:r>
          </w:p>
        </w:tc>
        <w:tc>
          <w:tcPr>
            <w:tcW w:w="1787" w:type="dxa"/>
          </w:tcPr>
          <w:p w14:paraId="07DFE79C" w14:textId="77777777" w:rsidR="00C402F4" w:rsidRDefault="00C402F4" w:rsidP="00C402F4">
            <w:pPr>
              <w:jc w:val="center"/>
              <w:rPr>
                <w:rFonts w:cs="Arial"/>
              </w:rPr>
            </w:pPr>
            <w:r>
              <w:rPr>
                <w:rFonts w:cs="Arial"/>
              </w:rPr>
              <w:t>133</w:t>
            </w:r>
          </w:p>
        </w:tc>
      </w:tr>
      <w:tr w:rsidR="001B7A57" w:rsidRPr="00C11C15" w14:paraId="35895AE1" w14:textId="77777777" w:rsidTr="00550C59">
        <w:trPr>
          <w:trHeight w:val="300"/>
        </w:trPr>
        <w:tc>
          <w:tcPr>
            <w:tcW w:w="1786" w:type="dxa"/>
            <w:shd w:val="clear" w:color="auto" w:fill="auto"/>
            <w:noWrap/>
          </w:tcPr>
          <w:p w14:paraId="07B6D75B" w14:textId="1A6878F7" w:rsidR="001B7A57" w:rsidRPr="00C11C15" w:rsidRDefault="001B7A57" w:rsidP="00C402F4">
            <w:pPr>
              <w:rPr>
                <w:rFonts w:eastAsia="Times New Roman" w:cs="Arial"/>
                <w:szCs w:val="24"/>
                <w:lang w:eastAsia="en-GB"/>
              </w:rPr>
            </w:pPr>
            <w:r>
              <w:rPr>
                <w:rFonts w:eastAsia="Times New Roman" w:cs="Arial"/>
                <w:szCs w:val="24"/>
                <w:lang w:eastAsia="en-GB"/>
              </w:rPr>
              <w:t>2019/20</w:t>
            </w:r>
          </w:p>
        </w:tc>
        <w:tc>
          <w:tcPr>
            <w:tcW w:w="1786" w:type="dxa"/>
            <w:shd w:val="clear" w:color="auto" w:fill="auto"/>
            <w:noWrap/>
          </w:tcPr>
          <w:p w14:paraId="0C7065A0" w14:textId="380FE752" w:rsidR="001B7A57" w:rsidRDefault="00A17361" w:rsidP="00C402F4">
            <w:pPr>
              <w:jc w:val="center"/>
              <w:rPr>
                <w:rFonts w:cs="Arial"/>
              </w:rPr>
            </w:pPr>
            <w:r>
              <w:rPr>
                <w:rFonts w:cs="Arial"/>
              </w:rPr>
              <w:t>62</w:t>
            </w:r>
          </w:p>
        </w:tc>
        <w:tc>
          <w:tcPr>
            <w:tcW w:w="1786" w:type="dxa"/>
            <w:shd w:val="clear" w:color="auto" w:fill="auto"/>
            <w:noWrap/>
          </w:tcPr>
          <w:p w14:paraId="4EF75B01" w14:textId="1FA4175F" w:rsidR="001B7A57" w:rsidRDefault="00A17361" w:rsidP="00C402F4">
            <w:pPr>
              <w:jc w:val="center"/>
              <w:rPr>
                <w:rFonts w:cs="Arial"/>
              </w:rPr>
            </w:pPr>
            <w:r>
              <w:rPr>
                <w:rFonts w:cs="Arial"/>
              </w:rPr>
              <w:t>49</w:t>
            </w:r>
          </w:p>
        </w:tc>
        <w:tc>
          <w:tcPr>
            <w:tcW w:w="1786" w:type="dxa"/>
            <w:shd w:val="clear" w:color="auto" w:fill="auto"/>
            <w:noWrap/>
          </w:tcPr>
          <w:p w14:paraId="026B11D4" w14:textId="4863C319" w:rsidR="001B7A57" w:rsidRDefault="00A17361" w:rsidP="00C402F4">
            <w:pPr>
              <w:jc w:val="center"/>
              <w:rPr>
                <w:rFonts w:cs="Arial"/>
              </w:rPr>
            </w:pPr>
            <w:r>
              <w:rPr>
                <w:rFonts w:cs="Arial"/>
              </w:rPr>
              <w:t>2</w:t>
            </w:r>
          </w:p>
        </w:tc>
        <w:tc>
          <w:tcPr>
            <w:tcW w:w="1787" w:type="dxa"/>
          </w:tcPr>
          <w:p w14:paraId="6097AB09" w14:textId="3C821FF7" w:rsidR="001B7A57" w:rsidRDefault="00A17361" w:rsidP="00C402F4">
            <w:pPr>
              <w:jc w:val="center"/>
              <w:rPr>
                <w:rFonts w:cs="Arial"/>
              </w:rPr>
            </w:pPr>
            <w:r>
              <w:rPr>
                <w:rFonts w:cs="Arial"/>
              </w:rPr>
              <w:t>113</w:t>
            </w:r>
          </w:p>
        </w:tc>
      </w:tr>
      <w:tr w:rsidR="001B7A57" w:rsidRPr="00C11C15" w14:paraId="301368E9" w14:textId="77777777" w:rsidTr="00550C59">
        <w:trPr>
          <w:trHeight w:val="300"/>
        </w:trPr>
        <w:tc>
          <w:tcPr>
            <w:tcW w:w="1786" w:type="dxa"/>
            <w:shd w:val="clear" w:color="auto" w:fill="auto"/>
            <w:noWrap/>
          </w:tcPr>
          <w:p w14:paraId="73793638" w14:textId="21ACFCE8" w:rsidR="001B7A57" w:rsidRDefault="001B7A57" w:rsidP="00C402F4">
            <w:pPr>
              <w:rPr>
                <w:rFonts w:eastAsia="Times New Roman" w:cs="Arial"/>
                <w:szCs w:val="24"/>
                <w:lang w:eastAsia="en-GB"/>
              </w:rPr>
            </w:pPr>
            <w:r>
              <w:rPr>
                <w:rFonts w:eastAsia="Times New Roman" w:cs="Arial"/>
                <w:szCs w:val="24"/>
                <w:lang w:eastAsia="en-GB"/>
              </w:rPr>
              <w:t>2020/21</w:t>
            </w:r>
          </w:p>
        </w:tc>
        <w:tc>
          <w:tcPr>
            <w:tcW w:w="1786" w:type="dxa"/>
            <w:shd w:val="clear" w:color="auto" w:fill="auto"/>
            <w:noWrap/>
          </w:tcPr>
          <w:p w14:paraId="0C220625" w14:textId="23E998AA" w:rsidR="001B7A57" w:rsidRDefault="00A17361" w:rsidP="00C402F4">
            <w:pPr>
              <w:jc w:val="center"/>
              <w:rPr>
                <w:rFonts w:cs="Arial"/>
              </w:rPr>
            </w:pPr>
            <w:r>
              <w:rPr>
                <w:rFonts w:cs="Arial"/>
              </w:rPr>
              <w:t>54</w:t>
            </w:r>
          </w:p>
        </w:tc>
        <w:tc>
          <w:tcPr>
            <w:tcW w:w="1786" w:type="dxa"/>
            <w:shd w:val="clear" w:color="auto" w:fill="auto"/>
            <w:noWrap/>
          </w:tcPr>
          <w:p w14:paraId="10528067" w14:textId="093BD540" w:rsidR="001B7A57" w:rsidRDefault="00A17361" w:rsidP="00C402F4">
            <w:pPr>
              <w:jc w:val="center"/>
              <w:rPr>
                <w:rFonts w:cs="Arial"/>
              </w:rPr>
            </w:pPr>
            <w:r>
              <w:rPr>
                <w:rFonts w:cs="Arial"/>
              </w:rPr>
              <w:t>1</w:t>
            </w:r>
          </w:p>
        </w:tc>
        <w:tc>
          <w:tcPr>
            <w:tcW w:w="1786" w:type="dxa"/>
            <w:shd w:val="clear" w:color="auto" w:fill="auto"/>
            <w:noWrap/>
          </w:tcPr>
          <w:p w14:paraId="4814A36B" w14:textId="73703CDF" w:rsidR="001B7A57" w:rsidRDefault="00A17361" w:rsidP="00C402F4">
            <w:pPr>
              <w:jc w:val="center"/>
              <w:rPr>
                <w:rFonts w:cs="Arial"/>
              </w:rPr>
            </w:pPr>
            <w:r>
              <w:rPr>
                <w:rFonts w:cs="Arial"/>
              </w:rPr>
              <w:t>68</w:t>
            </w:r>
          </w:p>
        </w:tc>
        <w:tc>
          <w:tcPr>
            <w:tcW w:w="1787" w:type="dxa"/>
          </w:tcPr>
          <w:p w14:paraId="5ACE1BF5" w14:textId="3B5B9C16" w:rsidR="001B7A57" w:rsidRDefault="00A17361" w:rsidP="00C402F4">
            <w:pPr>
              <w:jc w:val="center"/>
              <w:rPr>
                <w:rFonts w:cs="Arial"/>
              </w:rPr>
            </w:pPr>
            <w:r>
              <w:rPr>
                <w:rFonts w:cs="Arial"/>
              </w:rPr>
              <w:t>123</w:t>
            </w:r>
          </w:p>
        </w:tc>
      </w:tr>
      <w:tr w:rsidR="00611023" w:rsidRPr="00C11C15" w14:paraId="73A6851A" w14:textId="77777777" w:rsidTr="00550C59">
        <w:trPr>
          <w:trHeight w:val="300"/>
        </w:trPr>
        <w:tc>
          <w:tcPr>
            <w:tcW w:w="1786" w:type="dxa"/>
            <w:shd w:val="clear" w:color="auto" w:fill="auto"/>
            <w:noWrap/>
          </w:tcPr>
          <w:p w14:paraId="2909D753" w14:textId="110A7625" w:rsidR="00611023" w:rsidRDefault="00611023" w:rsidP="00C402F4">
            <w:pPr>
              <w:rPr>
                <w:rFonts w:eastAsia="Times New Roman" w:cs="Arial"/>
                <w:szCs w:val="24"/>
                <w:lang w:eastAsia="en-GB"/>
              </w:rPr>
            </w:pPr>
            <w:r>
              <w:rPr>
                <w:rFonts w:eastAsia="Times New Roman" w:cs="Arial"/>
                <w:szCs w:val="24"/>
                <w:lang w:eastAsia="en-GB"/>
              </w:rPr>
              <w:t>2021/22</w:t>
            </w:r>
          </w:p>
        </w:tc>
        <w:tc>
          <w:tcPr>
            <w:tcW w:w="1786" w:type="dxa"/>
            <w:shd w:val="clear" w:color="auto" w:fill="auto"/>
            <w:noWrap/>
          </w:tcPr>
          <w:p w14:paraId="79964897" w14:textId="067FD061" w:rsidR="00611023" w:rsidRDefault="001D20B9" w:rsidP="00C402F4">
            <w:pPr>
              <w:jc w:val="center"/>
              <w:rPr>
                <w:rFonts w:cs="Arial"/>
              </w:rPr>
            </w:pPr>
            <w:r>
              <w:rPr>
                <w:rFonts w:cs="Arial"/>
              </w:rPr>
              <w:t>66</w:t>
            </w:r>
          </w:p>
        </w:tc>
        <w:tc>
          <w:tcPr>
            <w:tcW w:w="1786" w:type="dxa"/>
            <w:shd w:val="clear" w:color="auto" w:fill="auto"/>
            <w:noWrap/>
          </w:tcPr>
          <w:p w14:paraId="156BC6F6" w14:textId="6A808F6C" w:rsidR="00611023" w:rsidRDefault="001D20B9" w:rsidP="00C402F4">
            <w:pPr>
              <w:jc w:val="center"/>
              <w:rPr>
                <w:rFonts w:cs="Arial"/>
              </w:rPr>
            </w:pPr>
            <w:r>
              <w:rPr>
                <w:rFonts w:cs="Arial"/>
              </w:rPr>
              <w:t>62</w:t>
            </w:r>
          </w:p>
        </w:tc>
        <w:tc>
          <w:tcPr>
            <w:tcW w:w="1786" w:type="dxa"/>
            <w:shd w:val="clear" w:color="auto" w:fill="auto"/>
            <w:noWrap/>
          </w:tcPr>
          <w:p w14:paraId="62BC99D1" w14:textId="2FAE3AC3" w:rsidR="00611023" w:rsidRDefault="001D20B9" w:rsidP="00C402F4">
            <w:pPr>
              <w:jc w:val="center"/>
              <w:rPr>
                <w:rFonts w:cs="Arial"/>
              </w:rPr>
            </w:pPr>
            <w:r>
              <w:rPr>
                <w:rFonts w:cs="Arial"/>
              </w:rPr>
              <w:t>1</w:t>
            </w:r>
          </w:p>
        </w:tc>
        <w:tc>
          <w:tcPr>
            <w:tcW w:w="1787" w:type="dxa"/>
          </w:tcPr>
          <w:p w14:paraId="7865C795" w14:textId="6D377B27" w:rsidR="00611023" w:rsidRDefault="001D20B9" w:rsidP="00C402F4">
            <w:pPr>
              <w:jc w:val="center"/>
              <w:rPr>
                <w:rFonts w:cs="Arial"/>
              </w:rPr>
            </w:pPr>
            <w:r>
              <w:rPr>
                <w:rFonts w:cs="Arial"/>
              </w:rPr>
              <w:t>129</w:t>
            </w:r>
          </w:p>
        </w:tc>
      </w:tr>
      <w:tr w:rsidR="0030363E" w:rsidRPr="00C11C15" w14:paraId="23ABECD9" w14:textId="77777777" w:rsidTr="00550C59">
        <w:trPr>
          <w:trHeight w:val="300"/>
        </w:trPr>
        <w:tc>
          <w:tcPr>
            <w:tcW w:w="1786" w:type="dxa"/>
            <w:shd w:val="clear" w:color="auto" w:fill="auto"/>
            <w:noWrap/>
          </w:tcPr>
          <w:p w14:paraId="7EE45E5E" w14:textId="4D822487" w:rsidR="0030363E" w:rsidRDefault="001201D7" w:rsidP="00C402F4">
            <w:pPr>
              <w:rPr>
                <w:rFonts w:eastAsia="Times New Roman" w:cs="Arial"/>
                <w:szCs w:val="24"/>
                <w:lang w:eastAsia="en-GB"/>
              </w:rPr>
            </w:pPr>
            <w:r>
              <w:rPr>
                <w:rFonts w:eastAsia="Times New Roman" w:cs="Arial"/>
                <w:szCs w:val="24"/>
                <w:lang w:eastAsia="en-GB"/>
              </w:rPr>
              <w:t>2022/23</w:t>
            </w:r>
          </w:p>
        </w:tc>
        <w:tc>
          <w:tcPr>
            <w:tcW w:w="1786" w:type="dxa"/>
            <w:shd w:val="clear" w:color="auto" w:fill="auto"/>
            <w:noWrap/>
          </w:tcPr>
          <w:p w14:paraId="1A052AF8" w14:textId="0F80FAF2" w:rsidR="0030363E" w:rsidRDefault="001201D7" w:rsidP="00C402F4">
            <w:pPr>
              <w:jc w:val="center"/>
              <w:rPr>
                <w:rFonts w:cs="Arial"/>
              </w:rPr>
            </w:pPr>
            <w:r>
              <w:rPr>
                <w:rFonts w:cs="Arial"/>
              </w:rPr>
              <w:t>76</w:t>
            </w:r>
          </w:p>
        </w:tc>
        <w:tc>
          <w:tcPr>
            <w:tcW w:w="1786" w:type="dxa"/>
            <w:shd w:val="clear" w:color="auto" w:fill="auto"/>
            <w:noWrap/>
          </w:tcPr>
          <w:p w14:paraId="534E3872" w14:textId="40BDB992" w:rsidR="0030363E" w:rsidRDefault="001201D7" w:rsidP="00C402F4">
            <w:pPr>
              <w:jc w:val="center"/>
              <w:rPr>
                <w:rFonts w:cs="Arial"/>
              </w:rPr>
            </w:pPr>
            <w:r>
              <w:rPr>
                <w:rFonts w:cs="Arial"/>
              </w:rPr>
              <w:t>76</w:t>
            </w:r>
          </w:p>
        </w:tc>
        <w:tc>
          <w:tcPr>
            <w:tcW w:w="1786" w:type="dxa"/>
            <w:shd w:val="clear" w:color="auto" w:fill="auto"/>
            <w:noWrap/>
          </w:tcPr>
          <w:p w14:paraId="7AD84AC5" w14:textId="2270A602" w:rsidR="0030363E" w:rsidRDefault="001201D7" w:rsidP="00C402F4">
            <w:pPr>
              <w:jc w:val="center"/>
              <w:rPr>
                <w:rFonts w:cs="Arial"/>
              </w:rPr>
            </w:pPr>
            <w:r>
              <w:rPr>
                <w:rFonts w:cs="Arial"/>
              </w:rPr>
              <w:t>0</w:t>
            </w:r>
          </w:p>
        </w:tc>
        <w:tc>
          <w:tcPr>
            <w:tcW w:w="1787" w:type="dxa"/>
          </w:tcPr>
          <w:p w14:paraId="56B97435" w14:textId="11C2B819" w:rsidR="0030363E" w:rsidRDefault="001201D7" w:rsidP="00C402F4">
            <w:pPr>
              <w:jc w:val="center"/>
              <w:rPr>
                <w:rFonts w:cs="Arial"/>
              </w:rPr>
            </w:pPr>
            <w:r>
              <w:rPr>
                <w:rFonts w:cs="Arial"/>
              </w:rPr>
              <w:t>152</w:t>
            </w:r>
          </w:p>
        </w:tc>
      </w:tr>
      <w:tr w:rsidR="00C402F4" w:rsidRPr="00C11C15" w14:paraId="34C1767C" w14:textId="77777777" w:rsidTr="00550C59">
        <w:trPr>
          <w:trHeight w:val="300"/>
        </w:trPr>
        <w:tc>
          <w:tcPr>
            <w:tcW w:w="1786" w:type="dxa"/>
            <w:shd w:val="clear" w:color="auto" w:fill="auto"/>
            <w:noWrap/>
            <w:hideMark/>
          </w:tcPr>
          <w:p w14:paraId="2A1248BC" w14:textId="7AF59678" w:rsidR="00C402F4" w:rsidRPr="00C11C15" w:rsidRDefault="00C402F4" w:rsidP="00DB12E4">
            <w:pPr>
              <w:rPr>
                <w:rFonts w:eastAsia="Times New Roman" w:cs="Arial"/>
                <w:szCs w:val="24"/>
                <w:lang w:eastAsia="en-GB"/>
              </w:rPr>
            </w:pPr>
            <w:r w:rsidRPr="00C11C15">
              <w:rPr>
                <w:rFonts w:eastAsia="Times New Roman" w:cs="Arial"/>
                <w:szCs w:val="24"/>
                <w:lang w:eastAsia="en-GB"/>
              </w:rPr>
              <w:t>T</w:t>
            </w:r>
            <w:r w:rsidR="00DB12E4">
              <w:rPr>
                <w:rFonts w:eastAsia="Times New Roman" w:cs="Arial"/>
                <w:szCs w:val="24"/>
                <w:lang w:eastAsia="en-GB"/>
              </w:rPr>
              <w:t>otal</w:t>
            </w:r>
          </w:p>
        </w:tc>
        <w:tc>
          <w:tcPr>
            <w:tcW w:w="1786" w:type="dxa"/>
            <w:shd w:val="clear" w:color="auto" w:fill="auto"/>
            <w:noWrap/>
            <w:hideMark/>
          </w:tcPr>
          <w:p w14:paraId="1A7D1291" w14:textId="0C672DA4" w:rsidR="00C402F4" w:rsidRDefault="001D20B9" w:rsidP="00611023">
            <w:pPr>
              <w:jc w:val="center"/>
              <w:rPr>
                <w:rFonts w:cs="Arial"/>
              </w:rPr>
            </w:pPr>
            <w:r>
              <w:rPr>
                <w:rFonts w:cs="Arial"/>
              </w:rPr>
              <w:t>635</w:t>
            </w:r>
          </w:p>
        </w:tc>
        <w:tc>
          <w:tcPr>
            <w:tcW w:w="1786" w:type="dxa"/>
            <w:shd w:val="clear" w:color="auto" w:fill="auto"/>
            <w:noWrap/>
            <w:hideMark/>
          </w:tcPr>
          <w:p w14:paraId="4B3DF5FA" w14:textId="6D4E9A5B" w:rsidR="00C402F4" w:rsidRDefault="001D20B9" w:rsidP="00A17361">
            <w:pPr>
              <w:jc w:val="center"/>
              <w:rPr>
                <w:rFonts w:cs="Arial"/>
              </w:rPr>
            </w:pPr>
            <w:r>
              <w:rPr>
                <w:rFonts w:cs="Arial"/>
              </w:rPr>
              <w:t>424</w:t>
            </w:r>
          </w:p>
        </w:tc>
        <w:tc>
          <w:tcPr>
            <w:tcW w:w="1786" w:type="dxa"/>
            <w:shd w:val="clear" w:color="auto" w:fill="auto"/>
            <w:noWrap/>
            <w:hideMark/>
          </w:tcPr>
          <w:p w14:paraId="23126598" w14:textId="77B9E319" w:rsidR="00C402F4" w:rsidRDefault="00A17361" w:rsidP="001B7A57">
            <w:pPr>
              <w:jc w:val="center"/>
              <w:rPr>
                <w:rFonts w:cs="Arial"/>
              </w:rPr>
            </w:pPr>
            <w:r>
              <w:rPr>
                <w:rFonts w:cs="Arial"/>
              </w:rPr>
              <w:t>229</w:t>
            </w:r>
          </w:p>
        </w:tc>
        <w:tc>
          <w:tcPr>
            <w:tcW w:w="1787" w:type="dxa"/>
          </w:tcPr>
          <w:p w14:paraId="13D02FAB" w14:textId="133A4A99" w:rsidR="00C402F4" w:rsidRDefault="001D20B9" w:rsidP="00A17361">
            <w:pPr>
              <w:jc w:val="center"/>
              <w:rPr>
                <w:rFonts w:cs="Arial"/>
              </w:rPr>
            </w:pPr>
            <w:r>
              <w:rPr>
                <w:rFonts w:cs="Arial"/>
              </w:rPr>
              <w:t>1,</w:t>
            </w:r>
            <w:r w:rsidR="001201D7">
              <w:rPr>
                <w:rFonts w:cs="Arial"/>
              </w:rPr>
              <w:t>383</w:t>
            </w:r>
          </w:p>
        </w:tc>
      </w:tr>
      <w:tr w:rsidR="00C402F4" w:rsidRPr="00C11C15" w14:paraId="200ACE36" w14:textId="77777777" w:rsidTr="00550C59">
        <w:trPr>
          <w:trHeight w:val="312"/>
        </w:trPr>
        <w:tc>
          <w:tcPr>
            <w:tcW w:w="1786" w:type="dxa"/>
            <w:shd w:val="clear" w:color="auto" w:fill="auto"/>
            <w:noWrap/>
            <w:hideMark/>
          </w:tcPr>
          <w:p w14:paraId="7CEB31D5" w14:textId="28CF5B36" w:rsidR="00C402F4" w:rsidRPr="00C11C15" w:rsidRDefault="003312A1" w:rsidP="00DB12E4">
            <w:pPr>
              <w:rPr>
                <w:rFonts w:eastAsia="Times New Roman" w:cs="Arial"/>
                <w:b/>
                <w:bCs/>
                <w:szCs w:val="24"/>
                <w:lang w:eastAsia="en-GB"/>
              </w:rPr>
            </w:pPr>
            <w:r>
              <w:rPr>
                <w:rFonts w:eastAsia="Times New Roman" w:cs="Arial"/>
                <w:b/>
                <w:bCs/>
                <w:szCs w:val="24"/>
                <w:lang w:eastAsia="en-GB"/>
              </w:rPr>
              <w:t>A</w:t>
            </w:r>
            <w:r w:rsidR="00DB12E4">
              <w:rPr>
                <w:rFonts w:eastAsia="Times New Roman" w:cs="Arial"/>
                <w:b/>
                <w:bCs/>
                <w:szCs w:val="24"/>
                <w:lang w:eastAsia="en-GB"/>
              </w:rPr>
              <w:t>verage</w:t>
            </w:r>
          </w:p>
        </w:tc>
        <w:tc>
          <w:tcPr>
            <w:tcW w:w="1786" w:type="dxa"/>
            <w:shd w:val="clear" w:color="auto" w:fill="auto"/>
            <w:noWrap/>
            <w:hideMark/>
          </w:tcPr>
          <w:p w14:paraId="65E3C0D2" w14:textId="28451E54" w:rsidR="00C402F4" w:rsidRDefault="001D20B9" w:rsidP="001D20B9">
            <w:pPr>
              <w:jc w:val="center"/>
              <w:rPr>
                <w:rFonts w:cs="Arial"/>
                <w:b/>
                <w:bCs/>
              </w:rPr>
            </w:pPr>
            <w:r>
              <w:rPr>
                <w:rFonts w:cs="Arial"/>
                <w:b/>
                <w:bCs/>
              </w:rPr>
              <w:t>64</w:t>
            </w:r>
          </w:p>
        </w:tc>
        <w:tc>
          <w:tcPr>
            <w:tcW w:w="1786" w:type="dxa"/>
            <w:shd w:val="clear" w:color="auto" w:fill="auto"/>
            <w:noWrap/>
            <w:hideMark/>
          </w:tcPr>
          <w:p w14:paraId="6D692FA6" w14:textId="7EA93C47" w:rsidR="00C402F4" w:rsidRDefault="001D20B9" w:rsidP="001D20B9">
            <w:pPr>
              <w:jc w:val="center"/>
              <w:rPr>
                <w:rFonts w:cs="Arial"/>
                <w:b/>
                <w:bCs/>
              </w:rPr>
            </w:pPr>
            <w:r>
              <w:rPr>
                <w:rFonts w:cs="Arial"/>
                <w:b/>
                <w:bCs/>
              </w:rPr>
              <w:t>42</w:t>
            </w:r>
          </w:p>
        </w:tc>
        <w:tc>
          <w:tcPr>
            <w:tcW w:w="1786" w:type="dxa"/>
            <w:shd w:val="clear" w:color="auto" w:fill="auto"/>
            <w:noWrap/>
            <w:hideMark/>
          </w:tcPr>
          <w:p w14:paraId="7755DAB4" w14:textId="5E4286FB" w:rsidR="00C402F4" w:rsidRDefault="00A17361" w:rsidP="001B7A57">
            <w:pPr>
              <w:jc w:val="center"/>
              <w:rPr>
                <w:rFonts w:cs="Arial"/>
                <w:b/>
                <w:bCs/>
              </w:rPr>
            </w:pPr>
            <w:r>
              <w:rPr>
                <w:rFonts w:cs="Arial"/>
                <w:b/>
                <w:bCs/>
              </w:rPr>
              <w:t>23</w:t>
            </w:r>
          </w:p>
        </w:tc>
        <w:tc>
          <w:tcPr>
            <w:tcW w:w="1787" w:type="dxa"/>
          </w:tcPr>
          <w:p w14:paraId="33B41EB5" w14:textId="3E4C97E3" w:rsidR="00C402F4" w:rsidRDefault="001D20B9" w:rsidP="001D20B9">
            <w:pPr>
              <w:jc w:val="center"/>
              <w:rPr>
                <w:rFonts w:cs="Arial"/>
                <w:b/>
                <w:bCs/>
              </w:rPr>
            </w:pPr>
            <w:r>
              <w:rPr>
                <w:rFonts w:cs="Arial"/>
                <w:b/>
                <w:bCs/>
              </w:rPr>
              <w:t>1</w:t>
            </w:r>
            <w:r w:rsidR="001201D7">
              <w:rPr>
                <w:rFonts w:cs="Arial"/>
                <w:b/>
                <w:bCs/>
              </w:rPr>
              <w:t>38</w:t>
            </w:r>
          </w:p>
        </w:tc>
      </w:tr>
    </w:tbl>
    <w:p w14:paraId="5995B9E5" w14:textId="77777777" w:rsidR="00C11C15" w:rsidRDefault="00C11C15" w:rsidP="00C11C15">
      <w:pPr>
        <w:pStyle w:val="NoSpacing"/>
      </w:pPr>
    </w:p>
    <w:p w14:paraId="685E33D2" w14:textId="77777777" w:rsidR="004C0BC9" w:rsidRPr="00E30484" w:rsidRDefault="004C0BC9" w:rsidP="004C0BC9">
      <w:pPr>
        <w:pStyle w:val="NoSpacing"/>
        <w:rPr>
          <w:u w:val="single"/>
        </w:rPr>
      </w:pPr>
      <w:r>
        <w:rPr>
          <w:u w:val="single"/>
        </w:rPr>
        <w:t>Annotations:</w:t>
      </w:r>
    </w:p>
    <w:p w14:paraId="6231AA86" w14:textId="77777777" w:rsidR="003919CF" w:rsidRDefault="003919CF" w:rsidP="003919CF">
      <w:pPr>
        <w:pStyle w:val="NoSpacing"/>
        <w:numPr>
          <w:ilvl w:val="0"/>
          <w:numId w:val="6"/>
        </w:numPr>
      </w:pPr>
      <w:r>
        <w:t>Gross figures used.</w:t>
      </w:r>
    </w:p>
    <w:p w14:paraId="5274D1E1" w14:textId="1B6BC42C" w:rsidR="005A7062" w:rsidRDefault="005A7062" w:rsidP="005A7062">
      <w:pPr>
        <w:pStyle w:val="NoSpacing"/>
        <w:numPr>
          <w:ilvl w:val="0"/>
          <w:numId w:val="6"/>
        </w:numPr>
      </w:pPr>
      <w:r>
        <w:t xml:space="preserve">Period includes 1 April </w:t>
      </w:r>
      <w:r w:rsidR="001B7A57">
        <w:t>201</w:t>
      </w:r>
      <w:r w:rsidR="00611023">
        <w:t>2</w:t>
      </w:r>
      <w:r w:rsidR="001B7A57">
        <w:t xml:space="preserve"> </w:t>
      </w:r>
      <w:r>
        <w:rPr>
          <w:szCs w:val="24"/>
        </w:rPr>
        <w:t xml:space="preserve">– </w:t>
      </w:r>
      <w:r>
        <w:t>31 March</w:t>
      </w:r>
      <w:r w:rsidR="001B7A57">
        <w:t xml:space="preserve"> 202</w:t>
      </w:r>
      <w:r w:rsidR="001201D7">
        <w:t>3</w:t>
      </w:r>
      <w:r>
        <w:t>.</w:t>
      </w:r>
    </w:p>
    <w:p w14:paraId="2667D430" w14:textId="2C4574D4" w:rsidR="003919CF" w:rsidRDefault="003919CF" w:rsidP="003919CF">
      <w:pPr>
        <w:pStyle w:val="NoSpacing"/>
        <w:numPr>
          <w:ilvl w:val="0"/>
          <w:numId w:val="6"/>
        </w:numPr>
      </w:pPr>
      <w:r>
        <w:t xml:space="preserve">Includes plots built on non-allocated sites </w:t>
      </w:r>
      <w:r w:rsidR="004C0BC9">
        <w:t>during the above period</w:t>
      </w:r>
      <w:r>
        <w:t>.  This includes plots on unfinished sites</w:t>
      </w:r>
      <w:r w:rsidR="004C0BC9">
        <w:t xml:space="preserve"> and </w:t>
      </w:r>
      <w:r>
        <w:t>sites that include demolitions of existing dwellings.</w:t>
      </w:r>
    </w:p>
    <w:p w14:paraId="7843F26D" w14:textId="77777777" w:rsidR="003919CF" w:rsidRDefault="003919CF" w:rsidP="003919CF">
      <w:pPr>
        <w:pStyle w:val="NoSpacing"/>
        <w:numPr>
          <w:ilvl w:val="0"/>
          <w:numId w:val="6"/>
        </w:numPr>
      </w:pPr>
      <w:r>
        <w:t>Includes residential garden land.</w:t>
      </w:r>
    </w:p>
    <w:p w14:paraId="61B83A41" w14:textId="4CF0D2D8" w:rsidR="003919CF" w:rsidRDefault="003919CF" w:rsidP="003919CF">
      <w:pPr>
        <w:pStyle w:val="NoSpacing"/>
        <w:numPr>
          <w:ilvl w:val="0"/>
          <w:numId w:val="6"/>
        </w:numPr>
      </w:pPr>
      <w:r>
        <w:t>Excludes plot completions on allocated sites.</w:t>
      </w:r>
    </w:p>
    <w:p w14:paraId="5CCCDD7D" w14:textId="1039DDE0" w:rsidR="000B3629" w:rsidRDefault="003919CF" w:rsidP="00D31CF1">
      <w:pPr>
        <w:pStyle w:val="NoSpacing"/>
        <w:numPr>
          <w:ilvl w:val="0"/>
          <w:numId w:val="6"/>
        </w:numPr>
      </w:pPr>
      <w:r>
        <w:t>Exclude</w:t>
      </w:r>
      <w:r w:rsidR="004C0BC9">
        <w:t>s</w:t>
      </w:r>
      <w:r>
        <w:t xml:space="preserve"> sites for replacement dwelling</w:t>
      </w:r>
      <w:r w:rsidR="005F46D7">
        <w:t>s</w:t>
      </w:r>
      <w:r>
        <w:t xml:space="preserve"> only.</w:t>
      </w:r>
      <w:r w:rsidR="000B3629">
        <w:br w:type="page"/>
      </w:r>
    </w:p>
    <w:p w14:paraId="3A59EEF5" w14:textId="77777777" w:rsidR="000B3629" w:rsidRPr="000B3629" w:rsidRDefault="000B3629" w:rsidP="00487894">
      <w:pPr>
        <w:pStyle w:val="Heading1"/>
      </w:pPr>
      <w:bookmarkStart w:id="5" w:name="_Toc42681244"/>
      <w:r w:rsidRPr="000B3629">
        <w:lastRenderedPageBreak/>
        <w:t>Non-implementation rates</w:t>
      </w:r>
      <w:bookmarkEnd w:id="5"/>
    </w:p>
    <w:p w14:paraId="27311216" w14:textId="05A2B9D3" w:rsidR="000B3629" w:rsidRDefault="000B3629" w:rsidP="00C11C15">
      <w:pPr>
        <w:pStyle w:val="NoSpacing"/>
        <w:rPr>
          <w:szCs w:val="24"/>
        </w:rPr>
      </w:pPr>
    </w:p>
    <w:p w14:paraId="6E715B4B" w14:textId="30614D05" w:rsidR="00DF6D27" w:rsidRDefault="00DF6D27" w:rsidP="00DF6D27">
      <w:pPr>
        <w:pStyle w:val="NoSpacing"/>
      </w:pPr>
      <w:r>
        <w:t>See paragraphs 47</w:t>
      </w:r>
      <w:r w:rsidR="00B004CF">
        <w:t>-</w:t>
      </w:r>
      <w:r>
        <w:t>48 of the joint SHLAA m</w:t>
      </w:r>
      <w:r w:rsidRPr="002D0A11">
        <w:t xml:space="preserve">ethodology </w:t>
      </w:r>
      <w:r>
        <w:t>report.</w:t>
      </w:r>
    </w:p>
    <w:p w14:paraId="56CD8D90" w14:textId="77777777" w:rsidR="00DF6D27" w:rsidRDefault="00DF6D27" w:rsidP="006A693C">
      <w:pPr>
        <w:pStyle w:val="NoSpacing"/>
      </w:pPr>
    </w:p>
    <w:p w14:paraId="76009770" w14:textId="65883DEC" w:rsidR="00BA2D39" w:rsidRPr="005D67FB" w:rsidRDefault="0047600E" w:rsidP="006A693C">
      <w:pPr>
        <w:pStyle w:val="NoSpacing"/>
        <w:rPr>
          <w:szCs w:val="24"/>
        </w:rPr>
      </w:pPr>
      <w:r>
        <w:t xml:space="preserve">Work has been undertaken to </w:t>
      </w:r>
      <w:r w:rsidR="006A693C">
        <w:t xml:space="preserve">establish </w:t>
      </w:r>
      <w:r w:rsidR="006A693C">
        <w:rPr>
          <w:rFonts w:cs="Arial"/>
          <w:szCs w:val="24"/>
        </w:rPr>
        <w:t xml:space="preserve">non-implementation </w:t>
      </w:r>
      <w:r>
        <w:rPr>
          <w:rFonts w:cs="Arial"/>
          <w:szCs w:val="24"/>
        </w:rPr>
        <w:t xml:space="preserve">(lapse) </w:t>
      </w:r>
      <w:r w:rsidR="006A693C">
        <w:rPr>
          <w:rFonts w:cs="Arial"/>
          <w:szCs w:val="24"/>
        </w:rPr>
        <w:t>rates</w:t>
      </w:r>
      <w:r>
        <w:rPr>
          <w:rFonts w:cs="Arial"/>
          <w:szCs w:val="24"/>
        </w:rPr>
        <w:t xml:space="preserve"> for different site sizes, </w:t>
      </w:r>
      <w:r w:rsidR="006A693C" w:rsidRPr="006A693C">
        <w:rPr>
          <w:rFonts w:cs="Arial"/>
          <w:szCs w:val="24"/>
        </w:rPr>
        <w:t xml:space="preserve">based on the proportion of dwellings with planning permission </w:t>
      </w:r>
      <w:r w:rsidR="006A693C">
        <w:rPr>
          <w:rFonts w:cs="Arial"/>
          <w:szCs w:val="24"/>
        </w:rPr>
        <w:t xml:space="preserve">which </w:t>
      </w:r>
      <w:r w:rsidR="006A693C" w:rsidRPr="006A693C">
        <w:rPr>
          <w:rFonts w:cs="Arial"/>
          <w:szCs w:val="24"/>
        </w:rPr>
        <w:t xml:space="preserve">have not yet been implemented </w:t>
      </w:r>
      <w:r w:rsidR="006A693C">
        <w:rPr>
          <w:rFonts w:cs="Arial"/>
          <w:szCs w:val="24"/>
        </w:rPr>
        <w:t xml:space="preserve">in the most recent </w:t>
      </w:r>
      <w:r w:rsidR="006A693C" w:rsidRPr="006A693C">
        <w:rPr>
          <w:rFonts w:cs="Arial"/>
          <w:szCs w:val="24"/>
        </w:rPr>
        <w:t>10 year period</w:t>
      </w:r>
      <w:r w:rsidR="005D67FB">
        <w:t xml:space="preserve">.  </w:t>
      </w:r>
      <w:r w:rsidR="00FE3D90">
        <w:t xml:space="preserve">It is considered that a </w:t>
      </w:r>
      <w:r w:rsidR="00FE3D90" w:rsidRPr="005D67FB">
        <w:t>period of 10 years is long enough to cover more than one economic cycle and provide a robust figure.  However, this figure will be revisited annually and a rolling 10 year period considered</w:t>
      </w:r>
      <w:r w:rsidR="00DF6D27">
        <w:t>.</w:t>
      </w:r>
    </w:p>
    <w:p w14:paraId="23C6F394" w14:textId="77777777" w:rsidR="00BA2D39" w:rsidRPr="005D67FB" w:rsidRDefault="00BA2D39" w:rsidP="00C11C15">
      <w:pPr>
        <w:pStyle w:val="NoSpacing"/>
        <w:rPr>
          <w:szCs w:val="24"/>
        </w:rPr>
      </w:pPr>
    </w:p>
    <w:p w14:paraId="208F8ABE" w14:textId="1F1BAFA7" w:rsidR="000B3629" w:rsidRPr="005D67FB" w:rsidRDefault="000B3629" w:rsidP="00C11C15">
      <w:pPr>
        <w:pStyle w:val="NoSpacing"/>
        <w:rPr>
          <w:szCs w:val="24"/>
        </w:rPr>
      </w:pPr>
      <w:r w:rsidRPr="005D67FB">
        <w:rPr>
          <w:szCs w:val="24"/>
        </w:rPr>
        <w:t>T</w:t>
      </w:r>
      <w:r w:rsidR="006339FB" w:rsidRPr="005D67FB">
        <w:rPr>
          <w:szCs w:val="24"/>
        </w:rPr>
        <w:t>he t</w:t>
      </w:r>
      <w:r w:rsidRPr="005D67FB">
        <w:rPr>
          <w:szCs w:val="24"/>
        </w:rPr>
        <w:t xml:space="preserve">able </w:t>
      </w:r>
      <w:r w:rsidR="005D67FB">
        <w:rPr>
          <w:szCs w:val="24"/>
        </w:rPr>
        <w:t xml:space="preserve">below </w:t>
      </w:r>
      <w:r w:rsidRPr="005D67FB">
        <w:rPr>
          <w:szCs w:val="24"/>
        </w:rPr>
        <w:t xml:space="preserve">shows </w:t>
      </w:r>
      <w:r w:rsidR="00522658" w:rsidRPr="005D67FB">
        <w:rPr>
          <w:szCs w:val="24"/>
        </w:rPr>
        <w:t>lapse rates based on the number of dwellings with ext</w:t>
      </w:r>
      <w:r w:rsidR="0047600E" w:rsidRPr="005D67FB">
        <w:rPr>
          <w:szCs w:val="24"/>
        </w:rPr>
        <w:t>a</w:t>
      </w:r>
      <w:r w:rsidR="00522658" w:rsidRPr="005D67FB">
        <w:rPr>
          <w:szCs w:val="24"/>
        </w:rPr>
        <w:t xml:space="preserve">nt permission, the number of dwelling lapsed </w:t>
      </w:r>
      <w:r w:rsidR="006A693C" w:rsidRPr="005D67FB">
        <w:rPr>
          <w:rFonts w:cs="Arial"/>
          <w:szCs w:val="24"/>
        </w:rPr>
        <w:t xml:space="preserve">on small and </w:t>
      </w:r>
      <w:r w:rsidR="00362561">
        <w:rPr>
          <w:rFonts w:cs="Arial"/>
          <w:szCs w:val="24"/>
        </w:rPr>
        <w:t>medium/</w:t>
      </w:r>
      <w:r w:rsidR="006A693C" w:rsidRPr="005D67FB">
        <w:rPr>
          <w:rFonts w:cs="Arial"/>
          <w:szCs w:val="24"/>
        </w:rPr>
        <w:t xml:space="preserve">large sites </w:t>
      </w:r>
      <w:r w:rsidRPr="005D67FB">
        <w:rPr>
          <w:szCs w:val="24"/>
        </w:rPr>
        <w:t xml:space="preserve">for each year and the average </w:t>
      </w:r>
      <w:r w:rsidR="00522658" w:rsidRPr="005D67FB">
        <w:rPr>
          <w:szCs w:val="24"/>
        </w:rPr>
        <w:t xml:space="preserve">lapse rate </w:t>
      </w:r>
      <w:r w:rsidR="00E30484" w:rsidRPr="005D67FB">
        <w:rPr>
          <w:szCs w:val="24"/>
        </w:rPr>
        <w:t>for the period</w:t>
      </w:r>
      <w:r w:rsidRPr="005D67FB">
        <w:rPr>
          <w:szCs w:val="24"/>
        </w:rPr>
        <w:t xml:space="preserve"> </w:t>
      </w:r>
      <w:r w:rsidRPr="005D67FB">
        <w:t xml:space="preserve">1 April </w:t>
      </w:r>
      <w:r w:rsidR="001B7A57">
        <w:t>201</w:t>
      </w:r>
      <w:r w:rsidR="001201D7">
        <w:t>3</w:t>
      </w:r>
      <w:r w:rsidR="001B7A57">
        <w:t xml:space="preserve"> </w:t>
      </w:r>
      <w:r w:rsidRPr="005D67FB">
        <w:t>to 31 March</w:t>
      </w:r>
      <w:r w:rsidR="001B7A57">
        <w:t xml:space="preserve"> 202</w:t>
      </w:r>
      <w:r w:rsidR="001201D7">
        <w:t>3</w:t>
      </w:r>
      <w:r w:rsidRPr="005D67FB">
        <w:rPr>
          <w:szCs w:val="24"/>
        </w:rPr>
        <w:t>.</w:t>
      </w:r>
      <w:r w:rsidR="000A3C19" w:rsidRPr="000A3C19">
        <w:t xml:space="preserve"> </w:t>
      </w:r>
      <w:r w:rsidR="000A3C19">
        <w:t xml:space="preserve"> The figures for 2009 to 201</w:t>
      </w:r>
      <w:r w:rsidR="001201D7">
        <w:t>3</w:t>
      </w:r>
      <w:r w:rsidR="000A3C19">
        <w:t xml:space="preserve"> are included in the table for information only but do not contribute to the n</w:t>
      </w:r>
      <w:r w:rsidR="000A3C19" w:rsidRPr="000A3C19">
        <w:t>on-implementation rates</w:t>
      </w:r>
      <w:r w:rsidR="000A3C19">
        <w:t xml:space="preserve"> for</w:t>
      </w:r>
      <w:r w:rsidR="00917CFC">
        <w:t xml:space="preserve"> the most recent </w:t>
      </w:r>
      <w:proofErr w:type="gramStart"/>
      <w:r w:rsidR="00917CFC">
        <w:t>10 year</w:t>
      </w:r>
      <w:proofErr w:type="gramEnd"/>
      <w:r w:rsidR="00917CFC">
        <w:t xml:space="preserve"> period </w:t>
      </w:r>
      <w:r w:rsidR="000A3C19">
        <w:t>201</w:t>
      </w:r>
      <w:r w:rsidR="001201D7">
        <w:t>3</w:t>
      </w:r>
      <w:r w:rsidR="000A3C19">
        <w:t xml:space="preserve"> to 202</w:t>
      </w:r>
      <w:r w:rsidR="001201D7">
        <w:t>3</w:t>
      </w:r>
      <w:r w:rsidR="000A3C19">
        <w:t>.</w:t>
      </w:r>
    </w:p>
    <w:p w14:paraId="3DCA7011" w14:textId="00E72464" w:rsidR="000B3629" w:rsidRDefault="000B3629" w:rsidP="00C11C15">
      <w:pPr>
        <w:pStyle w:val="NoSpacing"/>
      </w:pPr>
    </w:p>
    <w:p w14:paraId="3E6BC1C8" w14:textId="1262A7D3" w:rsidR="00DF6D27" w:rsidRDefault="00DF6D27" w:rsidP="00C11C15">
      <w:pPr>
        <w:pStyle w:val="NoSpacing"/>
      </w:pPr>
      <w:r>
        <w:t>The calculation for the lapse rate considers the number of lapsed permissions as a percentage of unimplemented dwellings with planning permission (rather than all dwellings with planning permission) because it is considered that once development on site has commenced it can no longer ‘lapse’.  Thus the lapse rate can only be applied to those dwellings that have not yet commenced.</w:t>
      </w:r>
    </w:p>
    <w:p w14:paraId="2907F3E5" w14:textId="77777777" w:rsidR="00DF6D27" w:rsidRPr="005D67FB" w:rsidRDefault="00DF6D27" w:rsidP="00C11C15">
      <w:pPr>
        <w:pStyle w:val="NoSpacing"/>
      </w:pPr>
    </w:p>
    <w:tbl>
      <w:tblPr>
        <w:tblW w:w="9016" w:type="dxa"/>
        <w:tblLayout w:type="fixed"/>
        <w:tblLook w:val="04A0" w:firstRow="1" w:lastRow="0" w:firstColumn="1" w:lastColumn="0" w:noHBand="0" w:noVBand="1"/>
        <w:tblCaption w:val="Non-implementation rates table"/>
        <w:tblDescription w:val="The table provides data on number of dwellings with extant permission and the number of dwelling lapsed on small and large sites for 31 March each year. Final column provides an overall lapsed rate."/>
      </w:tblPr>
      <w:tblGrid>
        <w:gridCol w:w="1271"/>
        <w:gridCol w:w="1276"/>
        <w:gridCol w:w="1134"/>
        <w:gridCol w:w="992"/>
        <w:gridCol w:w="1276"/>
        <w:gridCol w:w="1134"/>
        <w:gridCol w:w="992"/>
        <w:gridCol w:w="941"/>
      </w:tblGrid>
      <w:tr w:rsidR="00362561" w:rsidRPr="00693936" w14:paraId="7530BB74" w14:textId="77777777" w:rsidTr="00810B8B">
        <w:trPr>
          <w:trHeight w:val="1702"/>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1A3A1C3D" w14:textId="77777777" w:rsidR="00362561" w:rsidRPr="00693936" w:rsidRDefault="00362561" w:rsidP="00CD5D58">
            <w:pPr>
              <w:rPr>
                <w:rFonts w:eastAsia="Times New Roman" w:cs="Arial"/>
                <w:bCs/>
                <w:szCs w:val="24"/>
                <w:lang w:eastAsia="en-GB"/>
              </w:rPr>
            </w:pPr>
          </w:p>
        </w:tc>
        <w:tc>
          <w:tcPr>
            <w:tcW w:w="1276" w:type="dxa"/>
            <w:tcBorders>
              <w:top w:val="single" w:sz="4" w:space="0" w:color="auto"/>
              <w:left w:val="nil"/>
              <w:bottom w:val="single" w:sz="4" w:space="0" w:color="auto"/>
              <w:right w:val="single" w:sz="4" w:space="0" w:color="auto"/>
            </w:tcBorders>
            <w:shd w:val="clear" w:color="auto" w:fill="auto"/>
          </w:tcPr>
          <w:p w14:paraId="417040AF" w14:textId="77777777" w:rsidR="00362561" w:rsidRPr="00764234" w:rsidRDefault="00362561" w:rsidP="00693936">
            <w:pPr>
              <w:ind w:left="-57" w:right="-57"/>
              <w:jc w:val="center"/>
              <w:rPr>
                <w:rFonts w:eastAsia="Times New Roman" w:cs="Arial"/>
                <w:bCs/>
                <w:color w:val="000000"/>
                <w:szCs w:val="24"/>
                <w:lang w:eastAsia="en-GB"/>
              </w:rPr>
            </w:pPr>
            <w:r w:rsidRPr="00764234">
              <w:rPr>
                <w:rFonts w:eastAsia="Times New Roman" w:cs="Arial"/>
                <w:bCs/>
                <w:color w:val="000000"/>
                <w:szCs w:val="24"/>
                <w:lang w:eastAsia="en-GB"/>
              </w:rPr>
              <w:t xml:space="preserve">Number of dwellings with extant permission at 31 March on small </w:t>
            </w:r>
            <w:r w:rsidRPr="00764234">
              <w:rPr>
                <w:rFonts w:eastAsia="Times New Roman" w:cs="Arial"/>
                <w:bCs/>
                <w:szCs w:val="24"/>
                <w:lang w:eastAsia="en-GB"/>
              </w:rPr>
              <w:t>sites</w:t>
            </w:r>
          </w:p>
          <w:p w14:paraId="11811EF1" w14:textId="0A6E585D" w:rsidR="00362561" w:rsidRPr="00764234" w:rsidRDefault="00362561" w:rsidP="00693936">
            <w:pPr>
              <w:ind w:left="-57" w:right="-57"/>
              <w:jc w:val="center"/>
              <w:rPr>
                <w:rFonts w:eastAsia="Times New Roman" w:cs="Arial"/>
                <w:bCs/>
                <w:szCs w:val="24"/>
                <w:lang w:eastAsia="en-GB"/>
              </w:rPr>
            </w:pPr>
            <w:r w:rsidRPr="00764234">
              <w:rPr>
                <w:rFonts w:eastAsia="Times New Roman" w:cs="Arial"/>
                <w:bCs/>
                <w:color w:val="000000"/>
                <w:szCs w:val="24"/>
                <w:lang w:eastAsia="en-GB"/>
              </w:rPr>
              <w:t>1-9 dwellings</w:t>
            </w:r>
          </w:p>
        </w:tc>
        <w:tc>
          <w:tcPr>
            <w:tcW w:w="1134" w:type="dxa"/>
            <w:tcBorders>
              <w:top w:val="single" w:sz="4" w:space="0" w:color="auto"/>
              <w:left w:val="nil"/>
              <w:bottom w:val="single" w:sz="4" w:space="0" w:color="auto"/>
              <w:right w:val="single" w:sz="4" w:space="0" w:color="auto"/>
            </w:tcBorders>
            <w:shd w:val="clear" w:color="auto" w:fill="auto"/>
          </w:tcPr>
          <w:p w14:paraId="644CCC96" w14:textId="77777777" w:rsidR="00362561" w:rsidRPr="00764234" w:rsidRDefault="00362561" w:rsidP="00693936">
            <w:pPr>
              <w:ind w:left="-57" w:right="-57"/>
              <w:jc w:val="center"/>
              <w:rPr>
                <w:rFonts w:eastAsia="Times New Roman" w:cs="Arial"/>
                <w:bCs/>
                <w:color w:val="000000"/>
                <w:szCs w:val="24"/>
                <w:lang w:eastAsia="en-GB"/>
              </w:rPr>
            </w:pPr>
            <w:r w:rsidRPr="00764234">
              <w:rPr>
                <w:rFonts w:eastAsia="Times New Roman" w:cs="Arial"/>
                <w:bCs/>
                <w:color w:val="000000"/>
                <w:szCs w:val="24"/>
                <w:lang w:eastAsia="en-GB"/>
              </w:rPr>
              <w:t xml:space="preserve">Number of dwellings lapsed on small </w:t>
            </w:r>
            <w:r w:rsidRPr="00764234">
              <w:rPr>
                <w:rFonts w:eastAsia="Times New Roman" w:cs="Arial"/>
                <w:bCs/>
                <w:szCs w:val="24"/>
                <w:lang w:eastAsia="en-GB"/>
              </w:rPr>
              <w:t>sites</w:t>
            </w:r>
          </w:p>
          <w:p w14:paraId="25113AD6" w14:textId="71518875" w:rsidR="00362561" w:rsidRPr="00764234" w:rsidRDefault="00362561" w:rsidP="00693936">
            <w:pPr>
              <w:ind w:left="-57" w:right="-57"/>
              <w:jc w:val="center"/>
              <w:rPr>
                <w:rFonts w:eastAsia="Times New Roman" w:cs="Arial"/>
                <w:bCs/>
                <w:szCs w:val="24"/>
                <w:lang w:eastAsia="en-GB"/>
              </w:rPr>
            </w:pPr>
            <w:r w:rsidRPr="00764234">
              <w:rPr>
                <w:rFonts w:eastAsia="Times New Roman" w:cs="Arial"/>
                <w:bCs/>
                <w:color w:val="000000"/>
                <w:szCs w:val="24"/>
                <w:lang w:eastAsia="en-GB"/>
              </w:rPr>
              <w:t>1-9 dwellings</w:t>
            </w:r>
          </w:p>
        </w:tc>
        <w:tc>
          <w:tcPr>
            <w:tcW w:w="992" w:type="dxa"/>
            <w:tcBorders>
              <w:top w:val="single" w:sz="4" w:space="0" w:color="auto"/>
              <w:left w:val="nil"/>
              <w:bottom w:val="single" w:sz="4" w:space="0" w:color="auto"/>
              <w:right w:val="single" w:sz="4" w:space="0" w:color="auto"/>
            </w:tcBorders>
            <w:shd w:val="clear" w:color="auto" w:fill="auto"/>
          </w:tcPr>
          <w:p w14:paraId="5886E31C" w14:textId="77777777" w:rsidR="00362561" w:rsidRPr="00764234" w:rsidRDefault="00362561" w:rsidP="00D70CC8">
            <w:pPr>
              <w:ind w:left="-57" w:right="-57"/>
              <w:jc w:val="center"/>
              <w:rPr>
                <w:rFonts w:eastAsia="Times New Roman" w:cs="Arial"/>
                <w:bCs/>
                <w:szCs w:val="24"/>
                <w:lang w:eastAsia="en-GB"/>
              </w:rPr>
            </w:pPr>
            <w:r w:rsidRPr="00764234">
              <w:rPr>
                <w:rFonts w:eastAsia="Times New Roman" w:cs="Arial"/>
                <w:bCs/>
                <w:szCs w:val="24"/>
                <w:lang w:eastAsia="en-GB"/>
              </w:rPr>
              <w:t xml:space="preserve">Lapse rate </w:t>
            </w:r>
            <w:r w:rsidRPr="00764234">
              <w:rPr>
                <w:rFonts w:eastAsia="Times New Roman" w:cs="Arial"/>
                <w:bCs/>
                <w:color w:val="000000"/>
                <w:szCs w:val="24"/>
                <w:lang w:eastAsia="en-GB"/>
              </w:rPr>
              <w:t xml:space="preserve">on small </w:t>
            </w:r>
            <w:r w:rsidRPr="00764234">
              <w:rPr>
                <w:rFonts w:eastAsia="Times New Roman" w:cs="Arial"/>
                <w:bCs/>
                <w:szCs w:val="24"/>
                <w:lang w:eastAsia="en-GB"/>
              </w:rPr>
              <w:t>sites</w:t>
            </w:r>
          </w:p>
        </w:tc>
        <w:tc>
          <w:tcPr>
            <w:tcW w:w="1276" w:type="dxa"/>
            <w:tcBorders>
              <w:top w:val="single" w:sz="4" w:space="0" w:color="auto"/>
              <w:left w:val="nil"/>
              <w:bottom w:val="single" w:sz="4" w:space="0" w:color="auto"/>
              <w:right w:val="single" w:sz="4" w:space="0" w:color="auto"/>
            </w:tcBorders>
            <w:shd w:val="clear" w:color="auto" w:fill="auto"/>
          </w:tcPr>
          <w:p w14:paraId="5000FADF" w14:textId="77777777" w:rsidR="00362561" w:rsidRPr="00764234" w:rsidRDefault="00362561" w:rsidP="00693936">
            <w:pPr>
              <w:ind w:left="-57" w:right="-57"/>
              <w:jc w:val="center"/>
              <w:rPr>
                <w:rFonts w:eastAsia="Times New Roman" w:cs="Arial"/>
                <w:bCs/>
                <w:color w:val="000000"/>
                <w:szCs w:val="24"/>
                <w:lang w:eastAsia="en-GB"/>
              </w:rPr>
            </w:pPr>
            <w:r w:rsidRPr="00764234">
              <w:rPr>
                <w:rFonts w:eastAsia="Times New Roman" w:cs="Arial"/>
                <w:bCs/>
                <w:color w:val="000000"/>
                <w:szCs w:val="24"/>
                <w:lang w:eastAsia="en-GB"/>
              </w:rPr>
              <w:t>Number of dwellings with extant permission at 31 March on medium/ large</w:t>
            </w:r>
            <w:r w:rsidRPr="00764234">
              <w:rPr>
                <w:rFonts w:eastAsia="Times New Roman" w:cs="Arial"/>
                <w:bCs/>
                <w:szCs w:val="24"/>
                <w:lang w:eastAsia="en-GB"/>
              </w:rPr>
              <w:t xml:space="preserve"> sites</w:t>
            </w:r>
          </w:p>
          <w:p w14:paraId="3141B797" w14:textId="50A52157" w:rsidR="00362561" w:rsidRPr="00764234" w:rsidRDefault="00362561" w:rsidP="00693936">
            <w:pPr>
              <w:ind w:left="-57" w:right="-57"/>
              <w:jc w:val="center"/>
              <w:rPr>
                <w:rFonts w:eastAsia="Times New Roman" w:cs="Arial"/>
                <w:bCs/>
                <w:szCs w:val="24"/>
                <w:lang w:eastAsia="en-GB"/>
              </w:rPr>
            </w:pPr>
            <w:r w:rsidRPr="00764234">
              <w:rPr>
                <w:rFonts w:eastAsia="Times New Roman" w:cs="Arial"/>
                <w:bCs/>
                <w:color w:val="000000"/>
                <w:szCs w:val="24"/>
                <w:lang w:eastAsia="en-GB"/>
              </w:rPr>
              <w:t>10+ dwellings</w:t>
            </w:r>
          </w:p>
        </w:tc>
        <w:tc>
          <w:tcPr>
            <w:tcW w:w="1134" w:type="dxa"/>
            <w:tcBorders>
              <w:top w:val="single" w:sz="4" w:space="0" w:color="auto"/>
              <w:left w:val="nil"/>
              <w:bottom w:val="single" w:sz="4" w:space="0" w:color="auto"/>
              <w:right w:val="single" w:sz="4" w:space="0" w:color="auto"/>
            </w:tcBorders>
            <w:shd w:val="clear" w:color="auto" w:fill="auto"/>
          </w:tcPr>
          <w:p w14:paraId="413830B0" w14:textId="77777777" w:rsidR="00362561" w:rsidRPr="00764234" w:rsidRDefault="00362561" w:rsidP="00693936">
            <w:pPr>
              <w:ind w:left="-57" w:right="-57"/>
              <w:jc w:val="center"/>
              <w:rPr>
                <w:rFonts w:eastAsia="Times New Roman" w:cs="Arial"/>
                <w:bCs/>
                <w:color w:val="000000"/>
                <w:szCs w:val="24"/>
                <w:lang w:eastAsia="en-GB"/>
              </w:rPr>
            </w:pPr>
            <w:r w:rsidRPr="00764234">
              <w:rPr>
                <w:rFonts w:eastAsia="Times New Roman" w:cs="Arial"/>
                <w:bCs/>
                <w:color w:val="000000"/>
                <w:szCs w:val="24"/>
                <w:lang w:eastAsia="en-GB"/>
              </w:rPr>
              <w:t>Number of dwellings lapsed on medium/ large</w:t>
            </w:r>
            <w:r w:rsidRPr="00764234">
              <w:rPr>
                <w:rFonts w:eastAsia="Times New Roman" w:cs="Arial"/>
                <w:bCs/>
                <w:szCs w:val="24"/>
                <w:lang w:eastAsia="en-GB"/>
              </w:rPr>
              <w:t xml:space="preserve"> sites</w:t>
            </w:r>
          </w:p>
          <w:p w14:paraId="44E750BB" w14:textId="23B0B744" w:rsidR="00362561" w:rsidRPr="00764234" w:rsidRDefault="00362561" w:rsidP="00693936">
            <w:pPr>
              <w:ind w:left="-57" w:right="-57"/>
              <w:jc w:val="center"/>
              <w:rPr>
                <w:rFonts w:eastAsia="Times New Roman" w:cs="Arial"/>
                <w:bCs/>
                <w:szCs w:val="24"/>
                <w:lang w:eastAsia="en-GB"/>
              </w:rPr>
            </w:pPr>
            <w:r w:rsidRPr="00764234">
              <w:rPr>
                <w:rFonts w:eastAsia="Times New Roman" w:cs="Arial"/>
                <w:bCs/>
                <w:color w:val="000000"/>
                <w:szCs w:val="24"/>
                <w:lang w:eastAsia="en-GB"/>
              </w:rPr>
              <w:t>10+ dwellings</w:t>
            </w:r>
          </w:p>
        </w:tc>
        <w:tc>
          <w:tcPr>
            <w:tcW w:w="992" w:type="dxa"/>
            <w:tcBorders>
              <w:top w:val="single" w:sz="4" w:space="0" w:color="auto"/>
              <w:left w:val="nil"/>
              <w:bottom w:val="single" w:sz="4" w:space="0" w:color="auto"/>
              <w:right w:val="single" w:sz="4" w:space="0" w:color="auto"/>
            </w:tcBorders>
            <w:shd w:val="clear" w:color="auto" w:fill="auto"/>
          </w:tcPr>
          <w:p w14:paraId="35E82537" w14:textId="64CE105F" w:rsidR="00693936" w:rsidRPr="00764234" w:rsidRDefault="00362561" w:rsidP="00D70CC8">
            <w:pPr>
              <w:ind w:left="-113" w:right="-113"/>
              <w:jc w:val="center"/>
              <w:rPr>
                <w:rFonts w:eastAsia="Times New Roman" w:cs="Arial"/>
                <w:bCs/>
                <w:szCs w:val="24"/>
                <w:lang w:eastAsia="en-GB"/>
              </w:rPr>
            </w:pPr>
            <w:r w:rsidRPr="00764234">
              <w:rPr>
                <w:rFonts w:eastAsia="Times New Roman" w:cs="Arial"/>
                <w:bCs/>
                <w:szCs w:val="24"/>
                <w:lang w:eastAsia="en-GB"/>
              </w:rPr>
              <w:t xml:space="preserve">Lapse rate </w:t>
            </w:r>
            <w:r w:rsidRPr="00764234">
              <w:rPr>
                <w:rFonts w:eastAsia="Times New Roman" w:cs="Arial"/>
                <w:bCs/>
                <w:color w:val="000000"/>
                <w:szCs w:val="24"/>
                <w:lang w:eastAsia="en-GB"/>
              </w:rPr>
              <w:t>on medium/</w:t>
            </w:r>
            <w:r w:rsidR="00D70CC8" w:rsidRPr="00764234">
              <w:rPr>
                <w:rFonts w:eastAsia="Times New Roman" w:cs="Arial"/>
                <w:bCs/>
                <w:color w:val="000000"/>
                <w:szCs w:val="24"/>
                <w:lang w:eastAsia="en-GB"/>
              </w:rPr>
              <w:t xml:space="preserve"> </w:t>
            </w:r>
            <w:r w:rsidRPr="00764234">
              <w:rPr>
                <w:rFonts w:eastAsia="Times New Roman" w:cs="Arial"/>
                <w:bCs/>
                <w:color w:val="000000"/>
                <w:szCs w:val="24"/>
                <w:lang w:eastAsia="en-GB"/>
              </w:rPr>
              <w:t>large</w:t>
            </w:r>
            <w:r w:rsidRPr="00764234">
              <w:rPr>
                <w:rFonts w:eastAsia="Times New Roman" w:cs="Arial"/>
                <w:bCs/>
                <w:szCs w:val="24"/>
                <w:lang w:eastAsia="en-GB"/>
              </w:rPr>
              <w:t xml:space="preserve"> sites</w:t>
            </w:r>
          </w:p>
        </w:tc>
        <w:tc>
          <w:tcPr>
            <w:tcW w:w="941" w:type="dxa"/>
            <w:tcBorders>
              <w:top w:val="single" w:sz="4" w:space="0" w:color="auto"/>
              <w:left w:val="nil"/>
              <w:bottom w:val="single" w:sz="4" w:space="0" w:color="auto"/>
              <w:right w:val="single" w:sz="4" w:space="0" w:color="auto"/>
            </w:tcBorders>
            <w:shd w:val="clear" w:color="auto" w:fill="auto"/>
          </w:tcPr>
          <w:p w14:paraId="412CF7F1" w14:textId="68BD014F" w:rsidR="00362561" w:rsidRPr="00764234" w:rsidRDefault="00362561" w:rsidP="00CD5D58">
            <w:pPr>
              <w:ind w:left="-57" w:right="-57"/>
              <w:jc w:val="center"/>
              <w:rPr>
                <w:rFonts w:eastAsia="Times New Roman" w:cs="Arial"/>
                <w:bCs/>
                <w:szCs w:val="24"/>
                <w:lang w:eastAsia="en-GB"/>
              </w:rPr>
            </w:pPr>
            <w:r w:rsidRPr="00764234">
              <w:rPr>
                <w:rFonts w:eastAsia="Times New Roman" w:cs="Arial"/>
                <w:bCs/>
                <w:szCs w:val="24"/>
                <w:lang w:eastAsia="en-GB"/>
              </w:rPr>
              <w:t>Overall lapsed rate</w:t>
            </w:r>
          </w:p>
        </w:tc>
      </w:tr>
      <w:tr w:rsidR="00CC7683" w:rsidRPr="00987577" w14:paraId="58669DBF" w14:textId="77777777" w:rsidTr="000A3C19">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3217CC1" w14:textId="08FD735F" w:rsidR="00CC7683" w:rsidRPr="005D67FB" w:rsidRDefault="00CC7683" w:rsidP="00CC7683">
            <w:pPr>
              <w:rPr>
                <w:rFonts w:eastAsia="Times New Roman" w:cs="Arial"/>
                <w:szCs w:val="24"/>
                <w:lang w:eastAsia="en-GB"/>
              </w:rPr>
            </w:pPr>
            <w:r w:rsidRPr="005D67FB">
              <w:rPr>
                <w:rFonts w:eastAsia="Times New Roman" w:cs="Arial"/>
                <w:szCs w:val="24"/>
                <w:lang w:eastAsia="en-GB"/>
              </w:rPr>
              <w:t>2009/10</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tcPr>
          <w:p w14:paraId="66BBE030" w14:textId="3C4A49C9" w:rsidR="00CC7683" w:rsidRPr="005D67FB" w:rsidRDefault="00CC7683" w:rsidP="00CC7683">
            <w:pPr>
              <w:jc w:val="center"/>
            </w:pPr>
            <w:r w:rsidRPr="005D67FB">
              <w:t>224</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tcPr>
          <w:p w14:paraId="509476D1" w14:textId="710DDFA9" w:rsidR="00CC7683" w:rsidRPr="005D67FB" w:rsidRDefault="00CC7683" w:rsidP="00CC7683">
            <w:pPr>
              <w:jc w:val="center"/>
            </w:pPr>
            <w:r w:rsidRPr="005D67FB">
              <w:t>54</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tcPr>
          <w:p w14:paraId="6A9F008C" w14:textId="344C600F" w:rsidR="00CC7683" w:rsidRPr="005D67FB" w:rsidRDefault="00CC7683" w:rsidP="00CC7683">
            <w:pPr>
              <w:jc w:val="center"/>
            </w:pPr>
            <w:r w:rsidRPr="005D67FB">
              <w:t>24%</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tcPr>
          <w:p w14:paraId="70E4E5C8" w14:textId="1EB58217" w:rsidR="00CC7683" w:rsidRPr="005D67FB" w:rsidRDefault="00CC7683" w:rsidP="00CC7683">
            <w:pPr>
              <w:jc w:val="center"/>
            </w:pPr>
            <w:r w:rsidRPr="005D67FB">
              <w:t>1,188</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tcPr>
          <w:p w14:paraId="18500B37" w14:textId="485FCFD9" w:rsidR="00CC7683" w:rsidRPr="005D67FB" w:rsidRDefault="00CC7683" w:rsidP="00CC7683">
            <w:pPr>
              <w:jc w:val="center"/>
            </w:pPr>
            <w:r w:rsidRPr="005D67FB">
              <w:t>23</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tcPr>
          <w:p w14:paraId="51CB03A3" w14:textId="7CFB1BA0" w:rsidR="00CC7683" w:rsidRPr="005D67FB" w:rsidRDefault="00CC7683" w:rsidP="00CC7683">
            <w:pPr>
              <w:jc w:val="center"/>
            </w:pPr>
            <w:r w:rsidRPr="005D67FB">
              <w:t>2%</w:t>
            </w:r>
          </w:p>
        </w:tc>
        <w:tc>
          <w:tcPr>
            <w:tcW w:w="941" w:type="dxa"/>
            <w:tcBorders>
              <w:top w:val="single" w:sz="4" w:space="0" w:color="auto"/>
              <w:left w:val="nil"/>
              <w:bottom w:val="single" w:sz="4" w:space="0" w:color="auto"/>
              <w:right w:val="single" w:sz="4" w:space="0" w:color="auto"/>
            </w:tcBorders>
            <w:shd w:val="clear" w:color="auto" w:fill="BFBFBF" w:themeFill="background1" w:themeFillShade="BF"/>
          </w:tcPr>
          <w:p w14:paraId="74576911" w14:textId="2476CF4A" w:rsidR="00CC7683" w:rsidRPr="00987577" w:rsidRDefault="00CC7683" w:rsidP="00CC7683">
            <w:pPr>
              <w:jc w:val="center"/>
            </w:pPr>
            <w:r w:rsidRPr="005D67FB">
              <w:t>5%</w:t>
            </w:r>
          </w:p>
        </w:tc>
      </w:tr>
      <w:tr w:rsidR="00CC7683" w:rsidRPr="00987577" w14:paraId="404F6D30" w14:textId="77777777" w:rsidTr="000A3C19">
        <w:trPr>
          <w:trHeight w:val="300"/>
        </w:trPr>
        <w:tc>
          <w:tcPr>
            <w:tcW w:w="1271" w:type="dxa"/>
            <w:tcBorders>
              <w:top w:val="nil"/>
              <w:left w:val="single" w:sz="4" w:space="0" w:color="auto"/>
              <w:bottom w:val="single" w:sz="4" w:space="0" w:color="auto"/>
              <w:right w:val="single" w:sz="4" w:space="0" w:color="auto"/>
            </w:tcBorders>
            <w:shd w:val="clear" w:color="auto" w:fill="BFBFBF" w:themeFill="background1" w:themeFillShade="BF"/>
            <w:noWrap/>
          </w:tcPr>
          <w:p w14:paraId="73BE89DE" w14:textId="7FC65E28" w:rsidR="00CC7683" w:rsidRPr="00987577" w:rsidRDefault="00CC7683" w:rsidP="00CC7683">
            <w:pPr>
              <w:rPr>
                <w:rFonts w:eastAsia="Times New Roman" w:cs="Arial"/>
                <w:szCs w:val="24"/>
                <w:lang w:eastAsia="en-GB"/>
              </w:rPr>
            </w:pPr>
            <w:r w:rsidRPr="00987577">
              <w:rPr>
                <w:rFonts w:eastAsia="Times New Roman" w:cs="Arial"/>
                <w:szCs w:val="24"/>
                <w:lang w:eastAsia="en-GB"/>
              </w:rPr>
              <w:t>2010/11</w:t>
            </w:r>
          </w:p>
        </w:tc>
        <w:tc>
          <w:tcPr>
            <w:tcW w:w="1276" w:type="dxa"/>
            <w:tcBorders>
              <w:top w:val="nil"/>
              <w:left w:val="nil"/>
              <w:bottom w:val="single" w:sz="4" w:space="0" w:color="auto"/>
              <w:right w:val="single" w:sz="4" w:space="0" w:color="auto"/>
            </w:tcBorders>
            <w:shd w:val="clear" w:color="auto" w:fill="BFBFBF" w:themeFill="background1" w:themeFillShade="BF"/>
            <w:noWrap/>
          </w:tcPr>
          <w:p w14:paraId="6FBBEF8C" w14:textId="055A99AE" w:rsidR="00CC7683" w:rsidRPr="00987577" w:rsidRDefault="00CC7683" w:rsidP="00CC7683">
            <w:pPr>
              <w:jc w:val="center"/>
            </w:pPr>
            <w:r w:rsidRPr="00987577">
              <w:t>235</w:t>
            </w:r>
          </w:p>
        </w:tc>
        <w:tc>
          <w:tcPr>
            <w:tcW w:w="1134" w:type="dxa"/>
            <w:tcBorders>
              <w:top w:val="nil"/>
              <w:left w:val="nil"/>
              <w:bottom w:val="single" w:sz="4" w:space="0" w:color="auto"/>
              <w:right w:val="single" w:sz="4" w:space="0" w:color="auto"/>
            </w:tcBorders>
            <w:shd w:val="clear" w:color="auto" w:fill="BFBFBF" w:themeFill="background1" w:themeFillShade="BF"/>
          </w:tcPr>
          <w:p w14:paraId="17E1CF43" w14:textId="595DFA5D" w:rsidR="00CC7683" w:rsidRPr="00987577" w:rsidRDefault="00CC7683" w:rsidP="00CC7683">
            <w:pPr>
              <w:jc w:val="center"/>
            </w:pPr>
            <w:r w:rsidRPr="00987577">
              <w:t>21</w:t>
            </w:r>
          </w:p>
        </w:tc>
        <w:tc>
          <w:tcPr>
            <w:tcW w:w="992" w:type="dxa"/>
            <w:tcBorders>
              <w:top w:val="nil"/>
              <w:left w:val="nil"/>
              <w:bottom w:val="single" w:sz="4" w:space="0" w:color="auto"/>
              <w:right w:val="single" w:sz="4" w:space="0" w:color="auto"/>
            </w:tcBorders>
            <w:shd w:val="clear" w:color="auto" w:fill="BFBFBF" w:themeFill="background1" w:themeFillShade="BF"/>
            <w:noWrap/>
          </w:tcPr>
          <w:p w14:paraId="4CD90B7D" w14:textId="77ECFAC9" w:rsidR="00CC7683" w:rsidRPr="00987577" w:rsidRDefault="00CC7683" w:rsidP="00CC7683">
            <w:pPr>
              <w:jc w:val="center"/>
            </w:pPr>
            <w:r w:rsidRPr="00987577">
              <w:t>9%</w:t>
            </w:r>
          </w:p>
        </w:tc>
        <w:tc>
          <w:tcPr>
            <w:tcW w:w="1276" w:type="dxa"/>
            <w:tcBorders>
              <w:top w:val="nil"/>
              <w:left w:val="nil"/>
              <w:bottom w:val="single" w:sz="4" w:space="0" w:color="auto"/>
              <w:right w:val="single" w:sz="4" w:space="0" w:color="auto"/>
            </w:tcBorders>
            <w:shd w:val="clear" w:color="auto" w:fill="BFBFBF" w:themeFill="background1" w:themeFillShade="BF"/>
            <w:noWrap/>
          </w:tcPr>
          <w:p w14:paraId="3D9AA58F" w14:textId="585CB733" w:rsidR="00CC7683" w:rsidRPr="00987577" w:rsidRDefault="00CC7683" w:rsidP="00CC7683">
            <w:pPr>
              <w:jc w:val="center"/>
            </w:pPr>
            <w:r w:rsidRPr="00987577">
              <w:t>1,105</w:t>
            </w:r>
          </w:p>
        </w:tc>
        <w:tc>
          <w:tcPr>
            <w:tcW w:w="1134" w:type="dxa"/>
            <w:tcBorders>
              <w:top w:val="nil"/>
              <w:left w:val="nil"/>
              <w:bottom w:val="single" w:sz="4" w:space="0" w:color="auto"/>
              <w:right w:val="single" w:sz="4" w:space="0" w:color="auto"/>
            </w:tcBorders>
            <w:shd w:val="clear" w:color="auto" w:fill="BFBFBF" w:themeFill="background1" w:themeFillShade="BF"/>
            <w:noWrap/>
          </w:tcPr>
          <w:p w14:paraId="70CE2F0B" w14:textId="165BBC8A" w:rsidR="00CC7683" w:rsidRPr="00987577" w:rsidRDefault="00CC7683" w:rsidP="00CC7683">
            <w:pPr>
              <w:jc w:val="center"/>
            </w:pPr>
            <w:r w:rsidRPr="00987577">
              <w:t>14</w:t>
            </w:r>
          </w:p>
        </w:tc>
        <w:tc>
          <w:tcPr>
            <w:tcW w:w="992" w:type="dxa"/>
            <w:tcBorders>
              <w:top w:val="nil"/>
              <w:left w:val="nil"/>
              <w:bottom w:val="single" w:sz="4" w:space="0" w:color="auto"/>
              <w:right w:val="single" w:sz="4" w:space="0" w:color="auto"/>
            </w:tcBorders>
            <w:shd w:val="clear" w:color="auto" w:fill="BFBFBF" w:themeFill="background1" w:themeFillShade="BF"/>
            <w:noWrap/>
          </w:tcPr>
          <w:p w14:paraId="30EFBFDE" w14:textId="1E78AB99" w:rsidR="00CC7683" w:rsidRPr="00987577" w:rsidRDefault="00CC7683" w:rsidP="00CC7683">
            <w:pPr>
              <w:jc w:val="center"/>
            </w:pPr>
            <w:r w:rsidRPr="00987577">
              <w:t>1%</w:t>
            </w:r>
          </w:p>
        </w:tc>
        <w:tc>
          <w:tcPr>
            <w:tcW w:w="941" w:type="dxa"/>
            <w:tcBorders>
              <w:top w:val="nil"/>
              <w:left w:val="nil"/>
              <w:bottom w:val="single" w:sz="4" w:space="0" w:color="auto"/>
              <w:right w:val="single" w:sz="4" w:space="0" w:color="auto"/>
            </w:tcBorders>
            <w:shd w:val="clear" w:color="auto" w:fill="BFBFBF" w:themeFill="background1" w:themeFillShade="BF"/>
          </w:tcPr>
          <w:p w14:paraId="78A07FB0" w14:textId="4C0CB496" w:rsidR="00CC7683" w:rsidRPr="00987577" w:rsidRDefault="00CC7683" w:rsidP="00CC7683">
            <w:pPr>
              <w:jc w:val="center"/>
            </w:pPr>
            <w:r w:rsidRPr="00987577">
              <w:t>3%</w:t>
            </w:r>
          </w:p>
        </w:tc>
      </w:tr>
      <w:tr w:rsidR="00CC7683" w:rsidRPr="00987577" w14:paraId="7283818D" w14:textId="77777777" w:rsidTr="001D20B9">
        <w:trPr>
          <w:trHeight w:val="300"/>
        </w:trPr>
        <w:tc>
          <w:tcPr>
            <w:tcW w:w="1271"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421C93CB" w14:textId="77777777" w:rsidR="00CC7683" w:rsidRPr="00987577" w:rsidRDefault="00CC7683" w:rsidP="00CC7683">
            <w:pPr>
              <w:rPr>
                <w:rFonts w:eastAsia="Times New Roman" w:cs="Arial"/>
                <w:szCs w:val="24"/>
                <w:lang w:eastAsia="en-GB"/>
              </w:rPr>
            </w:pPr>
            <w:r w:rsidRPr="00987577">
              <w:rPr>
                <w:rFonts w:eastAsia="Times New Roman" w:cs="Arial"/>
                <w:szCs w:val="24"/>
                <w:lang w:eastAsia="en-GB"/>
              </w:rPr>
              <w:t>2011/12</w:t>
            </w:r>
          </w:p>
        </w:tc>
        <w:tc>
          <w:tcPr>
            <w:tcW w:w="1276" w:type="dxa"/>
            <w:tcBorders>
              <w:top w:val="nil"/>
              <w:left w:val="nil"/>
              <w:bottom w:val="single" w:sz="4" w:space="0" w:color="auto"/>
              <w:right w:val="single" w:sz="4" w:space="0" w:color="auto"/>
            </w:tcBorders>
            <w:shd w:val="clear" w:color="auto" w:fill="BFBFBF" w:themeFill="background1" w:themeFillShade="BF"/>
            <w:noWrap/>
          </w:tcPr>
          <w:p w14:paraId="5D5EA5EA" w14:textId="77777777" w:rsidR="00CC7683" w:rsidRPr="00987577" w:rsidRDefault="00CC7683" w:rsidP="00CC7683">
            <w:pPr>
              <w:jc w:val="center"/>
            </w:pPr>
            <w:r w:rsidRPr="00987577">
              <w:t>200</w:t>
            </w:r>
          </w:p>
        </w:tc>
        <w:tc>
          <w:tcPr>
            <w:tcW w:w="1134" w:type="dxa"/>
            <w:tcBorders>
              <w:top w:val="nil"/>
              <w:left w:val="nil"/>
              <w:bottom w:val="single" w:sz="4" w:space="0" w:color="auto"/>
              <w:right w:val="single" w:sz="4" w:space="0" w:color="auto"/>
            </w:tcBorders>
            <w:shd w:val="clear" w:color="auto" w:fill="BFBFBF" w:themeFill="background1" w:themeFillShade="BF"/>
          </w:tcPr>
          <w:p w14:paraId="130FF3AD" w14:textId="77777777" w:rsidR="00CC7683" w:rsidRPr="00987577" w:rsidRDefault="00CC7683" w:rsidP="00CC7683">
            <w:pPr>
              <w:jc w:val="center"/>
            </w:pPr>
            <w:r w:rsidRPr="00987577">
              <w:t>21</w:t>
            </w:r>
          </w:p>
        </w:tc>
        <w:tc>
          <w:tcPr>
            <w:tcW w:w="992" w:type="dxa"/>
            <w:tcBorders>
              <w:top w:val="nil"/>
              <w:left w:val="nil"/>
              <w:bottom w:val="single" w:sz="4" w:space="0" w:color="auto"/>
              <w:right w:val="single" w:sz="4" w:space="0" w:color="auto"/>
            </w:tcBorders>
            <w:shd w:val="clear" w:color="auto" w:fill="BFBFBF" w:themeFill="background1" w:themeFillShade="BF"/>
            <w:noWrap/>
          </w:tcPr>
          <w:p w14:paraId="6603FC60" w14:textId="77777777" w:rsidR="00CC7683" w:rsidRPr="00987577" w:rsidRDefault="00CC7683" w:rsidP="00CC7683">
            <w:pPr>
              <w:jc w:val="center"/>
            </w:pPr>
            <w:r w:rsidRPr="00987577">
              <w:t>11%</w:t>
            </w:r>
          </w:p>
        </w:tc>
        <w:tc>
          <w:tcPr>
            <w:tcW w:w="1276" w:type="dxa"/>
            <w:tcBorders>
              <w:top w:val="nil"/>
              <w:left w:val="nil"/>
              <w:bottom w:val="single" w:sz="4" w:space="0" w:color="auto"/>
              <w:right w:val="single" w:sz="4" w:space="0" w:color="auto"/>
            </w:tcBorders>
            <w:shd w:val="clear" w:color="auto" w:fill="BFBFBF" w:themeFill="background1" w:themeFillShade="BF"/>
            <w:noWrap/>
          </w:tcPr>
          <w:p w14:paraId="41F5E87C" w14:textId="77777777" w:rsidR="00CC7683" w:rsidRPr="00987577" w:rsidRDefault="00CC7683" w:rsidP="00CC7683">
            <w:pPr>
              <w:jc w:val="center"/>
            </w:pPr>
            <w:r w:rsidRPr="00987577">
              <w:t>856</w:t>
            </w:r>
          </w:p>
        </w:tc>
        <w:tc>
          <w:tcPr>
            <w:tcW w:w="1134" w:type="dxa"/>
            <w:tcBorders>
              <w:top w:val="nil"/>
              <w:left w:val="nil"/>
              <w:bottom w:val="single" w:sz="4" w:space="0" w:color="auto"/>
              <w:right w:val="single" w:sz="4" w:space="0" w:color="auto"/>
            </w:tcBorders>
            <w:shd w:val="clear" w:color="auto" w:fill="BFBFBF" w:themeFill="background1" w:themeFillShade="BF"/>
            <w:noWrap/>
          </w:tcPr>
          <w:p w14:paraId="11E4AF52" w14:textId="77777777" w:rsidR="00CC7683" w:rsidRPr="00987577" w:rsidRDefault="00CC7683" w:rsidP="00CC7683">
            <w:pPr>
              <w:jc w:val="center"/>
            </w:pPr>
            <w:r w:rsidRPr="00987577">
              <w:t>0</w:t>
            </w:r>
          </w:p>
        </w:tc>
        <w:tc>
          <w:tcPr>
            <w:tcW w:w="992" w:type="dxa"/>
            <w:tcBorders>
              <w:top w:val="nil"/>
              <w:left w:val="nil"/>
              <w:bottom w:val="single" w:sz="4" w:space="0" w:color="auto"/>
              <w:right w:val="single" w:sz="4" w:space="0" w:color="auto"/>
            </w:tcBorders>
            <w:shd w:val="clear" w:color="auto" w:fill="BFBFBF" w:themeFill="background1" w:themeFillShade="BF"/>
            <w:noWrap/>
          </w:tcPr>
          <w:p w14:paraId="0D26A134" w14:textId="77777777" w:rsidR="00CC7683" w:rsidRPr="00987577" w:rsidRDefault="00CC7683" w:rsidP="00CC7683">
            <w:pPr>
              <w:jc w:val="center"/>
            </w:pPr>
            <w:r w:rsidRPr="00987577">
              <w:t>0%</w:t>
            </w:r>
          </w:p>
        </w:tc>
        <w:tc>
          <w:tcPr>
            <w:tcW w:w="941" w:type="dxa"/>
            <w:tcBorders>
              <w:top w:val="nil"/>
              <w:left w:val="nil"/>
              <w:bottom w:val="single" w:sz="4" w:space="0" w:color="auto"/>
              <w:right w:val="single" w:sz="4" w:space="0" w:color="auto"/>
            </w:tcBorders>
            <w:shd w:val="clear" w:color="auto" w:fill="BFBFBF" w:themeFill="background1" w:themeFillShade="BF"/>
          </w:tcPr>
          <w:p w14:paraId="1E02F526" w14:textId="77777777" w:rsidR="00CC7683" w:rsidRPr="00987577" w:rsidRDefault="00CC7683" w:rsidP="00CC7683">
            <w:pPr>
              <w:jc w:val="center"/>
            </w:pPr>
            <w:r w:rsidRPr="00987577">
              <w:t>2%</w:t>
            </w:r>
          </w:p>
        </w:tc>
      </w:tr>
      <w:tr w:rsidR="00CC7683" w:rsidRPr="00987577" w14:paraId="52C01CBA" w14:textId="77777777" w:rsidTr="00B6042C">
        <w:trPr>
          <w:trHeight w:val="300"/>
        </w:trPr>
        <w:tc>
          <w:tcPr>
            <w:tcW w:w="1271" w:type="dxa"/>
            <w:tcBorders>
              <w:top w:val="nil"/>
              <w:left w:val="single" w:sz="4" w:space="0" w:color="auto"/>
              <w:bottom w:val="single" w:sz="4" w:space="0" w:color="auto"/>
              <w:right w:val="single" w:sz="4" w:space="0" w:color="auto"/>
            </w:tcBorders>
            <w:shd w:val="clear" w:color="auto" w:fill="BFBFBF" w:themeFill="background1" w:themeFillShade="BF"/>
            <w:noWrap/>
            <w:hideMark/>
          </w:tcPr>
          <w:p w14:paraId="3A0DFAC1" w14:textId="77777777" w:rsidR="00CC7683" w:rsidRPr="00987577" w:rsidRDefault="00CC7683" w:rsidP="00CC7683">
            <w:pPr>
              <w:rPr>
                <w:rFonts w:eastAsia="Times New Roman" w:cs="Arial"/>
                <w:szCs w:val="24"/>
                <w:lang w:eastAsia="en-GB"/>
              </w:rPr>
            </w:pPr>
            <w:r w:rsidRPr="00987577">
              <w:rPr>
                <w:rFonts w:eastAsia="Times New Roman" w:cs="Arial"/>
                <w:szCs w:val="24"/>
                <w:lang w:eastAsia="en-GB"/>
              </w:rPr>
              <w:t>2012/13</w:t>
            </w:r>
          </w:p>
        </w:tc>
        <w:tc>
          <w:tcPr>
            <w:tcW w:w="1276" w:type="dxa"/>
            <w:tcBorders>
              <w:top w:val="nil"/>
              <w:left w:val="nil"/>
              <w:bottom w:val="single" w:sz="4" w:space="0" w:color="auto"/>
              <w:right w:val="single" w:sz="4" w:space="0" w:color="auto"/>
            </w:tcBorders>
            <w:shd w:val="clear" w:color="auto" w:fill="BFBFBF" w:themeFill="background1" w:themeFillShade="BF"/>
            <w:noWrap/>
          </w:tcPr>
          <w:p w14:paraId="455993C2" w14:textId="77777777" w:rsidR="00CC7683" w:rsidRPr="00987577" w:rsidRDefault="00CC7683" w:rsidP="00CC7683">
            <w:pPr>
              <w:jc w:val="center"/>
            </w:pPr>
            <w:r w:rsidRPr="00987577">
              <w:t>234</w:t>
            </w:r>
          </w:p>
        </w:tc>
        <w:tc>
          <w:tcPr>
            <w:tcW w:w="1134" w:type="dxa"/>
            <w:tcBorders>
              <w:top w:val="nil"/>
              <w:left w:val="nil"/>
              <w:bottom w:val="single" w:sz="4" w:space="0" w:color="auto"/>
              <w:right w:val="single" w:sz="4" w:space="0" w:color="auto"/>
            </w:tcBorders>
            <w:shd w:val="clear" w:color="auto" w:fill="BFBFBF" w:themeFill="background1" w:themeFillShade="BF"/>
          </w:tcPr>
          <w:p w14:paraId="1886448F" w14:textId="77777777" w:rsidR="00CC7683" w:rsidRPr="00987577" w:rsidRDefault="00CC7683" w:rsidP="00CC7683">
            <w:pPr>
              <w:jc w:val="center"/>
            </w:pPr>
            <w:r w:rsidRPr="00987577">
              <w:t>22</w:t>
            </w:r>
          </w:p>
        </w:tc>
        <w:tc>
          <w:tcPr>
            <w:tcW w:w="992" w:type="dxa"/>
            <w:tcBorders>
              <w:top w:val="nil"/>
              <w:left w:val="nil"/>
              <w:bottom w:val="single" w:sz="4" w:space="0" w:color="auto"/>
              <w:right w:val="single" w:sz="4" w:space="0" w:color="auto"/>
            </w:tcBorders>
            <w:shd w:val="clear" w:color="auto" w:fill="BFBFBF" w:themeFill="background1" w:themeFillShade="BF"/>
            <w:noWrap/>
          </w:tcPr>
          <w:p w14:paraId="7200D592" w14:textId="77777777" w:rsidR="00CC7683" w:rsidRPr="00987577" w:rsidRDefault="00CC7683" w:rsidP="00CC7683">
            <w:pPr>
              <w:jc w:val="center"/>
            </w:pPr>
            <w:r w:rsidRPr="00987577">
              <w:t>9%</w:t>
            </w:r>
          </w:p>
        </w:tc>
        <w:tc>
          <w:tcPr>
            <w:tcW w:w="1276" w:type="dxa"/>
            <w:tcBorders>
              <w:top w:val="nil"/>
              <w:left w:val="nil"/>
              <w:bottom w:val="single" w:sz="4" w:space="0" w:color="auto"/>
              <w:right w:val="single" w:sz="4" w:space="0" w:color="auto"/>
            </w:tcBorders>
            <w:shd w:val="clear" w:color="auto" w:fill="BFBFBF" w:themeFill="background1" w:themeFillShade="BF"/>
            <w:noWrap/>
          </w:tcPr>
          <w:p w14:paraId="250E4803" w14:textId="77777777" w:rsidR="00CC7683" w:rsidRPr="00987577" w:rsidRDefault="00CC7683" w:rsidP="00CC7683">
            <w:pPr>
              <w:jc w:val="center"/>
            </w:pPr>
            <w:r w:rsidRPr="00987577">
              <w:t>857</w:t>
            </w:r>
          </w:p>
        </w:tc>
        <w:tc>
          <w:tcPr>
            <w:tcW w:w="1134" w:type="dxa"/>
            <w:tcBorders>
              <w:top w:val="nil"/>
              <w:left w:val="nil"/>
              <w:bottom w:val="single" w:sz="4" w:space="0" w:color="auto"/>
              <w:right w:val="single" w:sz="4" w:space="0" w:color="auto"/>
            </w:tcBorders>
            <w:shd w:val="clear" w:color="auto" w:fill="BFBFBF" w:themeFill="background1" w:themeFillShade="BF"/>
            <w:noWrap/>
          </w:tcPr>
          <w:p w14:paraId="2FED6C3D" w14:textId="77777777" w:rsidR="00CC7683" w:rsidRPr="00987577" w:rsidRDefault="00CC7683" w:rsidP="00CC7683">
            <w:pPr>
              <w:jc w:val="center"/>
            </w:pPr>
            <w:r w:rsidRPr="00987577">
              <w:t>0</w:t>
            </w:r>
          </w:p>
        </w:tc>
        <w:tc>
          <w:tcPr>
            <w:tcW w:w="992" w:type="dxa"/>
            <w:tcBorders>
              <w:top w:val="nil"/>
              <w:left w:val="nil"/>
              <w:bottom w:val="single" w:sz="4" w:space="0" w:color="auto"/>
              <w:right w:val="single" w:sz="4" w:space="0" w:color="auto"/>
            </w:tcBorders>
            <w:shd w:val="clear" w:color="auto" w:fill="BFBFBF" w:themeFill="background1" w:themeFillShade="BF"/>
            <w:noWrap/>
          </w:tcPr>
          <w:p w14:paraId="425E2F22" w14:textId="77777777" w:rsidR="00CC7683" w:rsidRPr="00987577" w:rsidRDefault="00CC7683" w:rsidP="00CC7683">
            <w:pPr>
              <w:jc w:val="center"/>
            </w:pPr>
            <w:r w:rsidRPr="00987577">
              <w:t>0%</w:t>
            </w:r>
          </w:p>
        </w:tc>
        <w:tc>
          <w:tcPr>
            <w:tcW w:w="941" w:type="dxa"/>
            <w:tcBorders>
              <w:top w:val="nil"/>
              <w:left w:val="nil"/>
              <w:bottom w:val="single" w:sz="4" w:space="0" w:color="auto"/>
              <w:right w:val="single" w:sz="4" w:space="0" w:color="auto"/>
            </w:tcBorders>
            <w:shd w:val="clear" w:color="auto" w:fill="BFBFBF" w:themeFill="background1" w:themeFillShade="BF"/>
          </w:tcPr>
          <w:p w14:paraId="3243166D" w14:textId="77777777" w:rsidR="00CC7683" w:rsidRPr="00987577" w:rsidRDefault="00CC7683" w:rsidP="00CC7683">
            <w:pPr>
              <w:jc w:val="center"/>
            </w:pPr>
            <w:r w:rsidRPr="00987577">
              <w:t>2%</w:t>
            </w:r>
          </w:p>
        </w:tc>
      </w:tr>
      <w:tr w:rsidR="00CC7683" w:rsidRPr="00987577" w14:paraId="6C47E658" w14:textId="77777777" w:rsidTr="00810B8B">
        <w:trPr>
          <w:trHeight w:val="300"/>
        </w:trPr>
        <w:tc>
          <w:tcPr>
            <w:tcW w:w="1271" w:type="dxa"/>
            <w:tcBorders>
              <w:top w:val="nil"/>
              <w:left w:val="single" w:sz="4" w:space="0" w:color="auto"/>
              <w:bottom w:val="single" w:sz="4" w:space="0" w:color="auto"/>
              <w:right w:val="single" w:sz="4" w:space="0" w:color="auto"/>
            </w:tcBorders>
            <w:shd w:val="clear" w:color="auto" w:fill="auto"/>
            <w:noWrap/>
            <w:hideMark/>
          </w:tcPr>
          <w:p w14:paraId="2F1AF033" w14:textId="77777777" w:rsidR="00CC7683" w:rsidRPr="00987577" w:rsidRDefault="00CC7683" w:rsidP="00CC7683">
            <w:pPr>
              <w:rPr>
                <w:rFonts w:eastAsia="Times New Roman" w:cs="Arial"/>
                <w:szCs w:val="24"/>
                <w:lang w:eastAsia="en-GB"/>
              </w:rPr>
            </w:pPr>
            <w:r w:rsidRPr="00987577">
              <w:rPr>
                <w:rFonts w:eastAsia="Times New Roman" w:cs="Arial"/>
                <w:szCs w:val="24"/>
                <w:lang w:eastAsia="en-GB"/>
              </w:rPr>
              <w:t>2013/14</w:t>
            </w:r>
          </w:p>
        </w:tc>
        <w:tc>
          <w:tcPr>
            <w:tcW w:w="1276" w:type="dxa"/>
            <w:tcBorders>
              <w:top w:val="nil"/>
              <w:left w:val="nil"/>
              <w:bottom w:val="single" w:sz="4" w:space="0" w:color="auto"/>
              <w:right w:val="single" w:sz="4" w:space="0" w:color="auto"/>
            </w:tcBorders>
            <w:shd w:val="clear" w:color="auto" w:fill="auto"/>
            <w:noWrap/>
          </w:tcPr>
          <w:p w14:paraId="377DAC32" w14:textId="77777777" w:rsidR="00CC7683" w:rsidRPr="00987577" w:rsidRDefault="00CC7683" w:rsidP="00CC7683">
            <w:pPr>
              <w:jc w:val="center"/>
            </w:pPr>
            <w:r w:rsidRPr="00987577">
              <w:t>226</w:t>
            </w:r>
          </w:p>
        </w:tc>
        <w:tc>
          <w:tcPr>
            <w:tcW w:w="1134" w:type="dxa"/>
            <w:tcBorders>
              <w:top w:val="nil"/>
              <w:left w:val="nil"/>
              <w:bottom w:val="single" w:sz="4" w:space="0" w:color="auto"/>
              <w:right w:val="single" w:sz="4" w:space="0" w:color="auto"/>
            </w:tcBorders>
            <w:shd w:val="clear" w:color="auto" w:fill="auto"/>
          </w:tcPr>
          <w:p w14:paraId="6B43C192" w14:textId="77777777" w:rsidR="00CC7683" w:rsidRPr="00987577" w:rsidRDefault="00CC7683" w:rsidP="00CC7683">
            <w:pPr>
              <w:jc w:val="center"/>
            </w:pPr>
            <w:r w:rsidRPr="00987577">
              <w:t>21</w:t>
            </w:r>
          </w:p>
        </w:tc>
        <w:tc>
          <w:tcPr>
            <w:tcW w:w="992" w:type="dxa"/>
            <w:tcBorders>
              <w:top w:val="nil"/>
              <w:left w:val="nil"/>
              <w:bottom w:val="single" w:sz="4" w:space="0" w:color="auto"/>
              <w:right w:val="single" w:sz="4" w:space="0" w:color="auto"/>
            </w:tcBorders>
            <w:shd w:val="clear" w:color="auto" w:fill="auto"/>
            <w:noWrap/>
          </w:tcPr>
          <w:p w14:paraId="2165DBDA" w14:textId="77777777" w:rsidR="00CC7683" w:rsidRPr="00987577" w:rsidRDefault="00CC7683" w:rsidP="00CC7683">
            <w:pPr>
              <w:jc w:val="center"/>
            </w:pPr>
            <w:r w:rsidRPr="00987577">
              <w:t>9%</w:t>
            </w:r>
          </w:p>
        </w:tc>
        <w:tc>
          <w:tcPr>
            <w:tcW w:w="1276" w:type="dxa"/>
            <w:tcBorders>
              <w:top w:val="nil"/>
              <w:left w:val="nil"/>
              <w:bottom w:val="single" w:sz="4" w:space="0" w:color="auto"/>
              <w:right w:val="single" w:sz="4" w:space="0" w:color="auto"/>
            </w:tcBorders>
            <w:shd w:val="clear" w:color="auto" w:fill="auto"/>
            <w:noWrap/>
          </w:tcPr>
          <w:p w14:paraId="5BAFFD8E" w14:textId="77777777" w:rsidR="00CC7683" w:rsidRPr="00987577" w:rsidRDefault="00CC7683" w:rsidP="00CC7683">
            <w:pPr>
              <w:jc w:val="center"/>
            </w:pPr>
            <w:r w:rsidRPr="00987577">
              <w:t>399</w:t>
            </w:r>
          </w:p>
        </w:tc>
        <w:tc>
          <w:tcPr>
            <w:tcW w:w="1134" w:type="dxa"/>
            <w:tcBorders>
              <w:top w:val="nil"/>
              <w:left w:val="nil"/>
              <w:bottom w:val="single" w:sz="4" w:space="0" w:color="auto"/>
              <w:right w:val="single" w:sz="4" w:space="0" w:color="auto"/>
            </w:tcBorders>
            <w:shd w:val="clear" w:color="auto" w:fill="auto"/>
            <w:noWrap/>
          </w:tcPr>
          <w:p w14:paraId="099F15BE" w14:textId="77777777" w:rsidR="00CC7683" w:rsidRPr="00987577" w:rsidRDefault="00CC7683" w:rsidP="00CC7683">
            <w:pPr>
              <w:jc w:val="center"/>
            </w:pPr>
            <w:r w:rsidRPr="00987577">
              <w:t>0</w:t>
            </w:r>
          </w:p>
        </w:tc>
        <w:tc>
          <w:tcPr>
            <w:tcW w:w="992" w:type="dxa"/>
            <w:tcBorders>
              <w:top w:val="nil"/>
              <w:left w:val="nil"/>
              <w:bottom w:val="single" w:sz="4" w:space="0" w:color="auto"/>
              <w:right w:val="single" w:sz="4" w:space="0" w:color="auto"/>
            </w:tcBorders>
            <w:shd w:val="clear" w:color="auto" w:fill="auto"/>
            <w:noWrap/>
          </w:tcPr>
          <w:p w14:paraId="3711D5BE" w14:textId="77777777" w:rsidR="00CC7683" w:rsidRPr="00987577" w:rsidRDefault="00CC7683" w:rsidP="00CC7683">
            <w:pPr>
              <w:jc w:val="center"/>
            </w:pPr>
            <w:r w:rsidRPr="00987577">
              <w:t>0%</w:t>
            </w:r>
          </w:p>
        </w:tc>
        <w:tc>
          <w:tcPr>
            <w:tcW w:w="941" w:type="dxa"/>
            <w:tcBorders>
              <w:top w:val="nil"/>
              <w:left w:val="nil"/>
              <w:bottom w:val="single" w:sz="4" w:space="0" w:color="auto"/>
              <w:right w:val="single" w:sz="4" w:space="0" w:color="auto"/>
            </w:tcBorders>
            <w:shd w:val="clear" w:color="auto" w:fill="auto"/>
          </w:tcPr>
          <w:p w14:paraId="4241AAF2" w14:textId="77777777" w:rsidR="00CC7683" w:rsidRPr="00987577" w:rsidRDefault="00CC7683" w:rsidP="00CC7683">
            <w:pPr>
              <w:jc w:val="center"/>
            </w:pPr>
            <w:r w:rsidRPr="00987577">
              <w:t>3%</w:t>
            </w:r>
          </w:p>
        </w:tc>
      </w:tr>
      <w:tr w:rsidR="00CC7683" w:rsidRPr="00987577" w14:paraId="0AC9D19A" w14:textId="77777777" w:rsidTr="00810B8B">
        <w:trPr>
          <w:trHeight w:val="300"/>
        </w:trPr>
        <w:tc>
          <w:tcPr>
            <w:tcW w:w="1271" w:type="dxa"/>
            <w:tcBorders>
              <w:top w:val="nil"/>
              <w:left w:val="single" w:sz="4" w:space="0" w:color="auto"/>
              <w:bottom w:val="single" w:sz="4" w:space="0" w:color="auto"/>
              <w:right w:val="single" w:sz="4" w:space="0" w:color="auto"/>
            </w:tcBorders>
            <w:shd w:val="clear" w:color="auto" w:fill="auto"/>
            <w:noWrap/>
            <w:hideMark/>
          </w:tcPr>
          <w:p w14:paraId="1D5CB568" w14:textId="77777777" w:rsidR="00CC7683" w:rsidRPr="00987577" w:rsidRDefault="00CC7683" w:rsidP="00CC7683">
            <w:pPr>
              <w:rPr>
                <w:rFonts w:eastAsia="Times New Roman" w:cs="Arial"/>
                <w:szCs w:val="24"/>
                <w:lang w:eastAsia="en-GB"/>
              </w:rPr>
            </w:pPr>
            <w:r w:rsidRPr="00987577">
              <w:rPr>
                <w:rFonts w:eastAsia="Times New Roman" w:cs="Arial"/>
                <w:szCs w:val="24"/>
                <w:lang w:eastAsia="en-GB"/>
              </w:rPr>
              <w:t>2014/15</w:t>
            </w:r>
          </w:p>
        </w:tc>
        <w:tc>
          <w:tcPr>
            <w:tcW w:w="1276" w:type="dxa"/>
            <w:tcBorders>
              <w:top w:val="nil"/>
              <w:left w:val="nil"/>
              <w:bottom w:val="single" w:sz="4" w:space="0" w:color="auto"/>
              <w:right w:val="single" w:sz="4" w:space="0" w:color="auto"/>
            </w:tcBorders>
            <w:shd w:val="clear" w:color="auto" w:fill="auto"/>
            <w:noWrap/>
          </w:tcPr>
          <w:p w14:paraId="08A81EF1" w14:textId="77777777" w:rsidR="00CC7683" w:rsidRPr="00987577" w:rsidRDefault="00CC7683" w:rsidP="00CC7683">
            <w:pPr>
              <w:jc w:val="center"/>
            </w:pPr>
            <w:r w:rsidRPr="00987577">
              <w:t>223</w:t>
            </w:r>
          </w:p>
        </w:tc>
        <w:tc>
          <w:tcPr>
            <w:tcW w:w="1134" w:type="dxa"/>
            <w:tcBorders>
              <w:top w:val="nil"/>
              <w:left w:val="nil"/>
              <w:bottom w:val="single" w:sz="4" w:space="0" w:color="auto"/>
              <w:right w:val="single" w:sz="4" w:space="0" w:color="auto"/>
            </w:tcBorders>
            <w:shd w:val="clear" w:color="auto" w:fill="auto"/>
          </w:tcPr>
          <w:p w14:paraId="34B7B3F5" w14:textId="77777777" w:rsidR="00CC7683" w:rsidRPr="00987577" w:rsidRDefault="00CC7683" w:rsidP="00CC7683">
            <w:pPr>
              <w:jc w:val="center"/>
            </w:pPr>
            <w:r w:rsidRPr="00987577">
              <w:t>4</w:t>
            </w:r>
          </w:p>
        </w:tc>
        <w:tc>
          <w:tcPr>
            <w:tcW w:w="992" w:type="dxa"/>
            <w:tcBorders>
              <w:top w:val="nil"/>
              <w:left w:val="nil"/>
              <w:bottom w:val="single" w:sz="4" w:space="0" w:color="auto"/>
              <w:right w:val="single" w:sz="4" w:space="0" w:color="auto"/>
            </w:tcBorders>
            <w:shd w:val="clear" w:color="auto" w:fill="auto"/>
            <w:noWrap/>
          </w:tcPr>
          <w:p w14:paraId="067F7E85" w14:textId="77777777" w:rsidR="00CC7683" w:rsidRPr="00987577" w:rsidRDefault="00CC7683" w:rsidP="00CC7683">
            <w:pPr>
              <w:jc w:val="center"/>
            </w:pPr>
            <w:r w:rsidRPr="00987577">
              <w:t>2%</w:t>
            </w:r>
          </w:p>
        </w:tc>
        <w:tc>
          <w:tcPr>
            <w:tcW w:w="1276" w:type="dxa"/>
            <w:tcBorders>
              <w:top w:val="nil"/>
              <w:left w:val="nil"/>
              <w:bottom w:val="single" w:sz="4" w:space="0" w:color="auto"/>
              <w:right w:val="single" w:sz="4" w:space="0" w:color="auto"/>
            </w:tcBorders>
            <w:shd w:val="clear" w:color="auto" w:fill="auto"/>
            <w:noWrap/>
          </w:tcPr>
          <w:p w14:paraId="642576DA" w14:textId="77777777" w:rsidR="00CC7683" w:rsidRPr="00987577" w:rsidRDefault="00CC7683" w:rsidP="00CC7683">
            <w:pPr>
              <w:jc w:val="center"/>
            </w:pPr>
            <w:r w:rsidRPr="00987577">
              <w:t>1,371</w:t>
            </w:r>
          </w:p>
        </w:tc>
        <w:tc>
          <w:tcPr>
            <w:tcW w:w="1134" w:type="dxa"/>
            <w:tcBorders>
              <w:top w:val="nil"/>
              <w:left w:val="nil"/>
              <w:bottom w:val="single" w:sz="4" w:space="0" w:color="auto"/>
              <w:right w:val="single" w:sz="4" w:space="0" w:color="auto"/>
            </w:tcBorders>
            <w:shd w:val="clear" w:color="auto" w:fill="auto"/>
            <w:noWrap/>
          </w:tcPr>
          <w:p w14:paraId="0C4D6E6D" w14:textId="77777777" w:rsidR="00CC7683" w:rsidRPr="00987577" w:rsidRDefault="00CC7683" w:rsidP="00CC7683">
            <w:pPr>
              <w:jc w:val="center"/>
            </w:pPr>
            <w:r w:rsidRPr="00987577">
              <w:t>0</w:t>
            </w:r>
          </w:p>
        </w:tc>
        <w:tc>
          <w:tcPr>
            <w:tcW w:w="992" w:type="dxa"/>
            <w:tcBorders>
              <w:top w:val="nil"/>
              <w:left w:val="nil"/>
              <w:bottom w:val="single" w:sz="4" w:space="0" w:color="auto"/>
              <w:right w:val="single" w:sz="4" w:space="0" w:color="auto"/>
            </w:tcBorders>
            <w:shd w:val="clear" w:color="auto" w:fill="auto"/>
            <w:noWrap/>
          </w:tcPr>
          <w:p w14:paraId="11920E49" w14:textId="77777777" w:rsidR="00CC7683" w:rsidRPr="00987577" w:rsidRDefault="00CC7683" w:rsidP="00CC7683">
            <w:pPr>
              <w:jc w:val="center"/>
            </w:pPr>
            <w:r w:rsidRPr="00987577">
              <w:t>0%</w:t>
            </w:r>
          </w:p>
        </w:tc>
        <w:tc>
          <w:tcPr>
            <w:tcW w:w="941" w:type="dxa"/>
            <w:tcBorders>
              <w:top w:val="nil"/>
              <w:left w:val="nil"/>
              <w:bottom w:val="single" w:sz="4" w:space="0" w:color="auto"/>
              <w:right w:val="single" w:sz="4" w:space="0" w:color="auto"/>
            </w:tcBorders>
            <w:shd w:val="clear" w:color="auto" w:fill="auto"/>
          </w:tcPr>
          <w:p w14:paraId="2B3AD353" w14:textId="77777777" w:rsidR="00CC7683" w:rsidRPr="00987577" w:rsidRDefault="00CC7683" w:rsidP="00CC7683">
            <w:pPr>
              <w:jc w:val="center"/>
            </w:pPr>
            <w:r w:rsidRPr="00987577">
              <w:t>0%</w:t>
            </w:r>
          </w:p>
        </w:tc>
      </w:tr>
      <w:tr w:rsidR="00CC7683" w:rsidRPr="00987577" w14:paraId="53E8346B" w14:textId="77777777" w:rsidTr="00810B8B">
        <w:trPr>
          <w:trHeight w:val="300"/>
        </w:trPr>
        <w:tc>
          <w:tcPr>
            <w:tcW w:w="1271" w:type="dxa"/>
            <w:tcBorders>
              <w:top w:val="nil"/>
              <w:left w:val="single" w:sz="4" w:space="0" w:color="auto"/>
              <w:bottom w:val="single" w:sz="4" w:space="0" w:color="auto"/>
              <w:right w:val="single" w:sz="4" w:space="0" w:color="auto"/>
            </w:tcBorders>
            <w:shd w:val="clear" w:color="auto" w:fill="auto"/>
            <w:noWrap/>
            <w:hideMark/>
          </w:tcPr>
          <w:p w14:paraId="7B7AA821" w14:textId="77777777" w:rsidR="00CC7683" w:rsidRPr="00987577" w:rsidRDefault="00CC7683" w:rsidP="00CC7683">
            <w:pPr>
              <w:rPr>
                <w:rFonts w:eastAsia="Times New Roman" w:cs="Arial"/>
                <w:szCs w:val="24"/>
                <w:lang w:eastAsia="en-GB"/>
              </w:rPr>
            </w:pPr>
            <w:r w:rsidRPr="00987577">
              <w:rPr>
                <w:rFonts w:eastAsia="Times New Roman" w:cs="Arial"/>
                <w:szCs w:val="24"/>
                <w:lang w:eastAsia="en-GB"/>
              </w:rPr>
              <w:t>2015/16</w:t>
            </w:r>
          </w:p>
        </w:tc>
        <w:tc>
          <w:tcPr>
            <w:tcW w:w="1276" w:type="dxa"/>
            <w:tcBorders>
              <w:top w:val="nil"/>
              <w:left w:val="nil"/>
              <w:bottom w:val="single" w:sz="4" w:space="0" w:color="auto"/>
              <w:right w:val="single" w:sz="4" w:space="0" w:color="auto"/>
            </w:tcBorders>
            <w:shd w:val="clear" w:color="auto" w:fill="auto"/>
            <w:noWrap/>
          </w:tcPr>
          <w:p w14:paraId="2B90FA1E" w14:textId="77777777" w:rsidR="00CC7683" w:rsidRPr="00987577" w:rsidRDefault="00CC7683" w:rsidP="00CC7683">
            <w:pPr>
              <w:jc w:val="center"/>
            </w:pPr>
            <w:r w:rsidRPr="00987577">
              <w:t>274</w:t>
            </w:r>
          </w:p>
        </w:tc>
        <w:tc>
          <w:tcPr>
            <w:tcW w:w="1134" w:type="dxa"/>
            <w:tcBorders>
              <w:top w:val="nil"/>
              <w:left w:val="nil"/>
              <w:bottom w:val="single" w:sz="4" w:space="0" w:color="auto"/>
              <w:right w:val="single" w:sz="4" w:space="0" w:color="auto"/>
            </w:tcBorders>
            <w:shd w:val="clear" w:color="auto" w:fill="auto"/>
          </w:tcPr>
          <w:p w14:paraId="73D81BC0" w14:textId="77777777" w:rsidR="00CC7683" w:rsidRPr="00987577" w:rsidRDefault="00CC7683" w:rsidP="00CC7683">
            <w:pPr>
              <w:jc w:val="center"/>
            </w:pPr>
            <w:r w:rsidRPr="00987577">
              <w:t>11</w:t>
            </w:r>
          </w:p>
        </w:tc>
        <w:tc>
          <w:tcPr>
            <w:tcW w:w="992" w:type="dxa"/>
            <w:tcBorders>
              <w:top w:val="nil"/>
              <w:left w:val="nil"/>
              <w:bottom w:val="single" w:sz="4" w:space="0" w:color="auto"/>
              <w:right w:val="single" w:sz="4" w:space="0" w:color="auto"/>
            </w:tcBorders>
            <w:shd w:val="clear" w:color="auto" w:fill="auto"/>
            <w:noWrap/>
          </w:tcPr>
          <w:p w14:paraId="44AD8032" w14:textId="77777777" w:rsidR="00CC7683" w:rsidRPr="00987577" w:rsidRDefault="00CC7683" w:rsidP="00CC7683">
            <w:pPr>
              <w:jc w:val="center"/>
            </w:pPr>
            <w:r w:rsidRPr="00987577">
              <w:t>4%</w:t>
            </w:r>
          </w:p>
        </w:tc>
        <w:tc>
          <w:tcPr>
            <w:tcW w:w="1276" w:type="dxa"/>
            <w:tcBorders>
              <w:top w:val="nil"/>
              <w:left w:val="nil"/>
              <w:bottom w:val="single" w:sz="4" w:space="0" w:color="auto"/>
              <w:right w:val="single" w:sz="4" w:space="0" w:color="auto"/>
            </w:tcBorders>
            <w:shd w:val="clear" w:color="auto" w:fill="auto"/>
            <w:noWrap/>
          </w:tcPr>
          <w:p w14:paraId="4F1BEA49" w14:textId="77777777" w:rsidR="00CC7683" w:rsidRPr="00987577" w:rsidRDefault="00CC7683" w:rsidP="00CC7683">
            <w:pPr>
              <w:jc w:val="center"/>
            </w:pPr>
            <w:r w:rsidRPr="00987577">
              <w:t>1,760</w:t>
            </w:r>
          </w:p>
        </w:tc>
        <w:tc>
          <w:tcPr>
            <w:tcW w:w="1134" w:type="dxa"/>
            <w:tcBorders>
              <w:top w:val="nil"/>
              <w:left w:val="nil"/>
              <w:bottom w:val="single" w:sz="4" w:space="0" w:color="auto"/>
              <w:right w:val="single" w:sz="4" w:space="0" w:color="auto"/>
            </w:tcBorders>
            <w:shd w:val="clear" w:color="auto" w:fill="auto"/>
            <w:noWrap/>
          </w:tcPr>
          <w:p w14:paraId="7CF7D07A" w14:textId="77777777" w:rsidR="00CC7683" w:rsidRPr="00987577" w:rsidRDefault="00CC7683" w:rsidP="00CC7683">
            <w:pPr>
              <w:jc w:val="center"/>
            </w:pPr>
            <w:r w:rsidRPr="00987577">
              <w:t>0</w:t>
            </w:r>
          </w:p>
        </w:tc>
        <w:tc>
          <w:tcPr>
            <w:tcW w:w="992" w:type="dxa"/>
            <w:tcBorders>
              <w:top w:val="nil"/>
              <w:left w:val="nil"/>
              <w:bottom w:val="single" w:sz="4" w:space="0" w:color="auto"/>
              <w:right w:val="single" w:sz="4" w:space="0" w:color="auto"/>
            </w:tcBorders>
            <w:shd w:val="clear" w:color="auto" w:fill="auto"/>
            <w:noWrap/>
          </w:tcPr>
          <w:p w14:paraId="4A05CFFB" w14:textId="77777777" w:rsidR="00CC7683" w:rsidRPr="00987577" w:rsidRDefault="00CC7683" w:rsidP="00CC7683">
            <w:pPr>
              <w:jc w:val="center"/>
            </w:pPr>
            <w:r w:rsidRPr="00987577">
              <w:t>0%</w:t>
            </w:r>
          </w:p>
        </w:tc>
        <w:tc>
          <w:tcPr>
            <w:tcW w:w="941" w:type="dxa"/>
            <w:tcBorders>
              <w:top w:val="nil"/>
              <w:left w:val="nil"/>
              <w:bottom w:val="single" w:sz="4" w:space="0" w:color="auto"/>
              <w:right w:val="single" w:sz="4" w:space="0" w:color="auto"/>
            </w:tcBorders>
            <w:shd w:val="clear" w:color="auto" w:fill="auto"/>
          </w:tcPr>
          <w:p w14:paraId="5C08AD2B" w14:textId="77777777" w:rsidR="00CC7683" w:rsidRPr="00987577" w:rsidRDefault="00CC7683" w:rsidP="00CC7683">
            <w:pPr>
              <w:jc w:val="center"/>
            </w:pPr>
            <w:r w:rsidRPr="00987577">
              <w:t>1%</w:t>
            </w:r>
          </w:p>
        </w:tc>
      </w:tr>
      <w:tr w:rsidR="00CC7683" w:rsidRPr="00987577" w14:paraId="03491FD9" w14:textId="77777777" w:rsidTr="00810B8B">
        <w:trPr>
          <w:trHeight w:val="300"/>
        </w:trPr>
        <w:tc>
          <w:tcPr>
            <w:tcW w:w="1271" w:type="dxa"/>
            <w:tcBorders>
              <w:top w:val="nil"/>
              <w:left w:val="single" w:sz="4" w:space="0" w:color="auto"/>
              <w:bottom w:val="single" w:sz="4" w:space="0" w:color="auto"/>
              <w:right w:val="single" w:sz="4" w:space="0" w:color="auto"/>
            </w:tcBorders>
            <w:shd w:val="clear" w:color="auto" w:fill="auto"/>
            <w:noWrap/>
            <w:hideMark/>
          </w:tcPr>
          <w:p w14:paraId="0E2FD8FF" w14:textId="77777777" w:rsidR="00CC7683" w:rsidRPr="00987577" w:rsidRDefault="00CC7683" w:rsidP="00CC7683">
            <w:pPr>
              <w:rPr>
                <w:rFonts w:eastAsia="Times New Roman" w:cs="Arial"/>
                <w:szCs w:val="24"/>
                <w:lang w:eastAsia="en-GB"/>
              </w:rPr>
            </w:pPr>
            <w:r w:rsidRPr="00987577">
              <w:rPr>
                <w:rFonts w:eastAsia="Times New Roman" w:cs="Arial"/>
                <w:szCs w:val="24"/>
                <w:lang w:eastAsia="en-GB"/>
              </w:rPr>
              <w:t>2016/17</w:t>
            </w:r>
          </w:p>
        </w:tc>
        <w:tc>
          <w:tcPr>
            <w:tcW w:w="1276" w:type="dxa"/>
            <w:tcBorders>
              <w:top w:val="nil"/>
              <w:left w:val="nil"/>
              <w:bottom w:val="single" w:sz="4" w:space="0" w:color="auto"/>
              <w:right w:val="single" w:sz="4" w:space="0" w:color="auto"/>
            </w:tcBorders>
            <w:shd w:val="clear" w:color="auto" w:fill="auto"/>
            <w:noWrap/>
          </w:tcPr>
          <w:p w14:paraId="5CA4663B" w14:textId="77777777" w:rsidR="00CC7683" w:rsidRPr="00987577" w:rsidRDefault="00CC7683" w:rsidP="00CC7683">
            <w:pPr>
              <w:jc w:val="center"/>
            </w:pPr>
            <w:r w:rsidRPr="00987577">
              <w:t>271</w:t>
            </w:r>
          </w:p>
        </w:tc>
        <w:tc>
          <w:tcPr>
            <w:tcW w:w="1134" w:type="dxa"/>
            <w:tcBorders>
              <w:top w:val="nil"/>
              <w:left w:val="nil"/>
              <w:bottom w:val="single" w:sz="4" w:space="0" w:color="auto"/>
              <w:right w:val="single" w:sz="4" w:space="0" w:color="auto"/>
            </w:tcBorders>
            <w:shd w:val="clear" w:color="auto" w:fill="auto"/>
          </w:tcPr>
          <w:p w14:paraId="29F2DD19" w14:textId="77777777" w:rsidR="00CC7683" w:rsidRPr="00987577" w:rsidRDefault="00CC7683" w:rsidP="00CC7683">
            <w:pPr>
              <w:jc w:val="center"/>
            </w:pPr>
            <w:r w:rsidRPr="00987577">
              <w:t>23</w:t>
            </w:r>
          </w:p>
        </w:tc>
        <w:tc>
          <w:tcPr>
            <w:tcW w:w="992" w:type="dxa"/>
            <w:tcBorders>
              <w:top w:val="nil"/>
              <w:left w:val="nil"/>
              <w:bottom w:val="single" w:sz="4" w:space="0" w:color="auto"/>
              <w:right w:val="single" w:sz="4" w:space="0" w:color="auto"/>
            </w:tcBorders>
            <w:shd w:val="clear" w:color="auto" w:fill="auto"/>
            <w:noWrap/>
          </w:tcPr>
          <w:p w14:paraId="6518BEA1" w14:textId="77777777" w:rsidR="00CC7683" w:rsidRPr="00987577" w:rsidRDefault="00CC7683" w:rsidP="00CC7683">
            <w:pPr>
              <w:jc w:val="center"/>
            </w:pPr>
            <w:r w:rsidRPr="00987577">
              <w:t>8%</w:t>
            </w:r>
          </w:p>
        </w:tc>
        <w:tc>
          <w:tcPr>
            <w:tcW w:w="1276" w:type="dxa"/>
            <w:tcBorders>
              <w:top w:val="nil"/>
              <w:left w:val="nil"/>
              <w:bottom w:val="single" w:sz="4" w:space="0" w:color="auto"/>
              <w:right w:val="single" w:sz="4" w:space="0" w:color="auto"/>
            </w:tcBorders>
            <w:shd w:val="clear" w:color="auto" w:fill="auto"/>
            <w:noWrap/>
          </w:tcPr>
          <w:p w14:paraId="01560953" w14:textId="77777777" w:rsidR="00CC7683" w:rsidRPr="00987577" w:rsidRDefault="00CC7683" w:rsidP="00CC7683">
            <w:pPr>
              <w:jc w:val="center"/>
            </w:pPr>
            <w:r w:rsidRPr="00987577">
              <w:t>3,067</w:t>
            </w:r>
          </w:p>
        </w:tc>
        <w:tc>
          <w:tcPr>
            <w:tcW w:w="1134" w:type="dxa"/>
            <w:tcBorders>
              <w:top w:val="nil"/>
              <w:left w:val="nil"/>
              <w:bottom w:val="single" w:sz="4" w:space="0" w:color="auto"/>
              <w:right w:val="single" w:sz="4" w:space="0" w:color="auto"/>
            </w:tcBorders>
            <w:shd w:val="clear" w:color="auto" w:fill="auto"/>
            <w:noWrap/>
          </w:tcPr>
          <w:p w14:paraId="5CB058AB" w14:textId="77777777" w:rsidR="00CC7683" w:rsidRPr="00987577" w:rsidRDefault="00CC7683" w:rsidP="00CC7683">
            <w:pPr>
              <w:jc w:val="center"/>
            </w:pPr>
            <w:r w:rsidRPr="00987577">
              <w:t>0</w:t>
            </w:r>
          </w:p>
        </w:tc>
        <w:tc>
          <w:tcPr>
            <w:tcW w:w="992" w:type="dxa"/>
            <w:tcBorders>
              <w:top w:val="nil"/>
              <w:left w:val="nil"/>
              <w:bottom w:val="single" w:sz="4" w:space="0" w:color="auto"/>
              <w:right w:val="single" w:sz="4" w:space="0" w:color="auto"/>
            </w:tcBorders>
            <w:shd w:val="clear" w:color="auto" w:fill="auto"/>
            <w:noWrap/>
          </w:tcPr>
          <w:p w14:paraId="744675B4" w14:textId="77777777" w:rsidR="00CC7683" w:rsidRPr="00987577" w:rsidRDefault="00CC7683" w:rsidP="00CC7683">
            <w:pPr>
              <w:jc w:val="center"/>
            </w:pPr>
            <w:r w:rsidRPr="00987577">
              <w:t>0%</w:t>
            </w:r>
          </w:p>
        </w:tc>
        <w:tc>
          <w:tcPr>
            <w:tcW w:w="941" w:type="dxa"/>
            <w:tcBorders>
              <w:top w:val="nil"/>
              <w:left w:val="nil"/>
              <w:bottom w:val="single" w:sz="4" w:space="0" w:color="auto"/>
              <w:right w:val="single" w:sz="4" w:space="0" w:color="auto"/>
            </w:tcBorders>
            <w:shd w:val="clear" w:color="auto" w:fill="auto"/>
          </w:tcPr>
          <w:p w14:paraId="4E1E8109" w14:textId="77777777" w:rsidR="00CC7683" w:rsidRPr="00987577" w:rsidRDefault="00CC7683" w:rsidP="00CC7683">
            <w:pPr>
              <w:jc w:val="center"/>
            </w:pPr>
            <w:r w:rsidRPr="00987577">
              <w:t>1%</w:t>
            </w:r>
          </w:p>
        </w:tc>
      </w:tr>
      <w:tr w:rsidR="00CC7683" w:rsidRPr="00987577" w14:paraId="30C2DD79" w14:textId="77777777" w:rsidTr="00810B8B">
        <w:trPr>
          <w:trHeight w:val="300"/>
        </w:trPr>
        <w:tc>
          <w:tcPr>
            <w:tcW w:w="1271" w:type="dxa"/>
            <w:tcBorders>
              <w:top w:val="nil"/>
              <w:left w:val="single" w:sz="4" w:space="0" w:color="auto"/>
              <w:bottom w:val="single" w:sz="4" w:space="0" w:color="auto"/>
              <w:right w:val="single" w:sz="4" w:space="0" w:color="auto"/>
            </w:tcBorders>
            <w:shd w:val="clear" w:color="auto" w:fill="auto"/>
            <w:noWrap/>
            <w:hideMark/>
          </w:tcPr>
          <w:p w14:paraId="275778B0" w14:textId="77777777" w:rsidR="00CC7683" w:rsidRPr="00987577" w:rsidRDefault="00CC7683" w:rsidP="00CC7683">
            <w:pPr>
              <w:rPr>
                <w:rFonts w:eastAsia="Times New Roman" w:cs="Arial"/>
                <w:szCs w:val="24"/>
                <w:lang w:eastAsia="en-GB"/>
              </w:rPr>
            </w:pPr>
            <w:r w:rsidRPr="00987577">
              <w:rPr>
                <w:rFonts w:eastAsia="Times New Roman" w:cs="Arial"/>
                <w:szCs w:val="24"/>
                <w:lang w:eastAsia="en-GB"/>
              </w:rPr>
              <w:t>2017/18</w:t>
            </w:r>
          </w:p>
        </w:tc>
        <w:tc>
          <w:tcPr>
            <w:tcW w:w="1276" w:type="dxa"/>
            <w:tcBorders>
              <w:top w:val="nil"/>
              <w:left w:val="nil"/>
              <w:bottom w:val="single" w:sz="4" w:space="0" w:color="auto"/>
              <w:right w:val="single" w:sz="4" w:space="0" w:color="auto"/>
            </w:tcBorders>
            <w:shd w:val="clear" w:color="auto" w:fill="auto"/>
            <w:noWrap/>
          </w:tcPr>
          <w:p w14:paraId="61BDBBE6" w14:textId="77777777" w:rsidR="00CC7683" w:rsidRPr="00987577" w:rsidRDefault="00CC7683" w:rsidP="00CC7683">
            <w:pPr>
              <w:jc w:val="center"/>
            </w:pPr>
            <w:r w:rsidRPr="00987577">
              <w:t>282</w:t>
            </w:r>
          </w:p>
        </w:tc>
        <w:tc>
          <w:tcPr>
            <w:tcW w:w="1134" w:type="dxa"/>
            <w:tcBorders>
              <w:top w:val="nil"/>
              <w:left w:val="nil"/>
              <w:bottom w:val="single" w:sz="4" w:space="0" w:color="auto"/>
              <w:right w:val="single" w:sz="4" w:space="0" w:color="auto"/>
            </w:tcBorders>
            <w:shd w:val="clear" w:color="auto" w:fill="auto"/>
          </w:tcPr>
          <w:p w14:paraId="46DE4DBB" w14:textId="77777777" w:rsidR="00CC7683" w:rsidRPr="00987577" w:rsidRDefault="00CC7683" w:rsidP="00CC7683">
            <w:pPr>
              <w:jc w:val="center"/>
            </w:pPr>
            <w:r w:rsidRPr="00987577">
              <w:t>18</w:t>
            </w:r>
          </w:p>
        </w:tc>
        <w:tc>
          <w:tcPr>
            <w:tcW w:w="992" w:type="dxa"/>
            <w:tcBorders>
              <w:top w:val="nil"/>
              <w:left w:val="nil"/>
              <w:bottom w:val="single" w:sz="4" w:space="0" w:color="auto"/>
              <w:right w:val="single" w:sz="4" w:space="0" w:color="auto"/>
            </w:tcBorders>
            <w:shd w:val="clear" w:color="auto" w:fill="auto"/>
            <w:noWrap/>
          </w:tcPr>
          <w:p w14:paraId="5958DD58" w14:textId="77777777" w:rsidR="00CC7683" w:rsidRPr="00987577" w:rsidRDefault="00CC7683" w:rsidP="00CC7683">
            <w:pPr>
              <w:jc w:val="center"/>
            </w:pPr>
            <w:r w:rsidRPr="00987577">
              <w:t>6%</w:t>
            </w:r>
          </w:p>
        </w:tc>
        <w:tc>
          <w:tcPr>
            <w:tcW w:w="1276" w:type="dxa"/>
            <w:tcBorders>
              <w:top w:val="nil"/>
              <w:left w:val="nil"/>
              <w:bottom w:val="single" w:sz="4" w:space="0" w:color="auto"/>
              <w:right w:val="single" w:sz="4" w:space="0" w:color="auto"/>
            </w:tcBorders>
            <w:shd w:val="clear" w:color="auto" w:fill="auto"/>
            <w:noWrap/>
          </w:tcPr>
          <w:p w14:paraId="41304DB7" w14:textId="77777777" w:rsidR="00CC7683" w:rsidRPr="00987577" w:rsidRDefault="00CC7683" w:rsidP="00CC7683">
            <w:pPr>
              <w:jc w:val="center"/>
            </w:pPr>
            <w:r w:rsidRPr="00987577">
              <w:t>2,537</w:t>
            </w:r>
          </w:p>
        </w:tc>
        <w:tc>
          <w:tcPr>
            <w:tcW w:w="1134" w:type="dxa"/>
            <w:tcBorders>
              <w:top w:val="nil"/>
              <w:left w:val="nil"/>
              <w:bottom w:val="single" w:sz="4" w:space="0" w:color="auto"/>
              <w:right w:val="single" w:sz="4" w:space="0" w:color="auto"/>
            </w:tcBorders>
            <w:shd w:val="clear" w:color="auto" w:fill="auto"/>
            <w:noWrap/>
          </w:tcPr>
          <w:p w14:paraId="752229AA" w14:textId="77777777" w:rsidR="00CC7683" w:rsidRPr="00987577" w:rsidRDefault="00CC7683" w:rsidP="00CC7683">
            <w:pPr>
              <w:jc w:val="center"/>
            </w:pPr>
            <w:r w:rsidRPr="00987577">
              <w:t>220</w:t>
            </w:r>
          </w:p>
        </w:tc>
        <w:tc>
          <w:tcPr>
            <w:tcW w:w="992" w:type="dxa"/>
            <w:tcBorders>
              <w:top w:val="nil"/>
              <w:left w:val="nil"/>
              <w:bottom w:val="single" w:sz="4" w:space="0" w:color="auto"/>
              <w:right w:val="single" w:sz="4" w:space="0" w:color="auto"/>
            </w:tcBorders>
            <w:shd w:val="clear" w:color="auto" w:fill="auto"/>
            <w:noWrap/>
          </w:tcPr>
          <w:p w14:paraId="3AA543D6" w14:textId="77777777" w:rsidR="00CC7683" w:rsidRPr="00987577" w:rsidRDefault="00CC7683" w:rsidP="00CC7683">
            <w:pPr>
              <w:jc w:val="center"/>
            </w:pPr>
            <w:r w:rsidRPr="00987577">
              <w:t>9%</w:t>
            </w:r>
          </w:p>
        </w:tc>
        <w:tc>
          <w:tcPr>
            <w:tcW w:w="941" w:type="dxa"/>
            <w:tcBorders>
              <w:top w:val="nil"/>
              <w:left w:val="nil"/>
              <w:bottom w:val="single" w:sz="4" w:space="0" w:color="auto"/>
              <w:right w:val="single" w:sz="4" w:space="0" w:color="auto"/>
            </w:tcBorders>
            <w:shd w:val="clear" w:color="auto" w:fill="auto"/>
          </w:tcPr>
          <w:p w14:paraId="712843ED" w14:textId="77777777" w:rsidR="00CC7683" w:rsidRPr="00987577" w:rsidRDefault="00CC7683" w:rsidP="00CC7683">
            <w:pPr>
              <w:jc w:val="center"/>
            </w:pPr>
            <w:r w:rsidRPr="00987577">
              <w:t>8%</w:t>
            </w:r>
          </w:p>
        </w:tc>
      </w:tr>
      <w:tr w:rsidR="00CC7683" w:rsidRPr="00987577" w14:paraId="4A712B01" w14:textId="77777777" w:rsidTr="00810B8B">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14:paraId="3EB746E5" w14:textId="77777777" w:rsidR="00CC7683" w:rsidRPr="00987577" w:rsidRDefault="00CC7683" w:rsidP="00CC7683">
            <w:pPr>
              <w:rPr>
                <w:rFonts w:eastAsia="Times New Roman" w:cs="Arial"/>
                <w:szCs w:val="24"/>
                <w:lang w:eastAsia="en-GB"/>
              </w:rPr>
            </w:pPr>
            <w:r w:rsidRPr="00987577">
              <w:rPr>
                <w:rFonts w:eastAsia="Times New Roman" w:cs="Arial"/>
                <w:szCs w:val="24"/>
                <w:lang w:eastAsia="en-GB"/>
              </w:rPr>
              <w:t>2018/19</w:t>
            </w:r>
          </w:p>
        </w:tc>
        <w:tc>
          <w:tcPr>
            <w:tcW w:w="1276" w:type="dxa"/>
            <w:tcBorders>
              <w:top w:val="single" w:sz="4" w:space="0" w:color="auto"/>
              <w:left w:val="nil"/>
              <w:bottom w:val="single" w:sz="4" w:space="0" w:color="auto"/>
              <w:right w:val="single" w:sz="4" w:space="0" w:color="auto"/>
            </w:tcBorders>
            <w:shd w:val="clear" w:color="auto" w:fill="auto"/>
            <w:noWrap/>
          </w:tcPr>
          <w:p w14:paraId="1827942A" w14:textId="77777777" w:rsidR="00CC7683" w:rsidRPr="00987577" w:rsidRDefault="00CC7683" w:rsidP="00CC7683">
            <w:pPr>
              <w:jc w:val="center"/>
            </w:pPr>
            <w:r w:rsidRPr="00987577">
              <w:t>280</w:t>
            </w:r>
          </w:p>
        </w:tc>
        <w:tc>
          <w:tcPr>
            <w:tcW w:w="1134" w:type="dxa"/>
            <w:tcBorders>
              <w:top w:val="single" w:sz="4" w:space="0" w:color="auto"/>
              <w:left w:val="nil"/>
              <w:bottom w:val="single" w:sz="4" w:space="0" w:color="auto"/>
              <w:right w:val="single" w:sz="4" w:space="0" w:color="auto"/>
            </w:tcBorders>
            <w:shd w:val="clear" w:color="auto" w:fill="auto"/>
          </w:tcPr>
          <w:p w14:paraId="416BC1FC" w14:textId="77777777" w:rsidR="00CC7683" w:rsidRPr="00987577" w:rsidRDefault="00CC7683" w:rsidP="00CC7683">
            <w:pPr>
              <w:jc w:val="center"/>
            </w:pPr>
            <w:r w:rsidRPr="00987577">
              <w:t>38</w:t>
            </w:r>
          </w:p>
        </w:tc>
        <w:tc>
          <w:tcPr>
            <w:tcW w:w="992" w:type="dxa"/>
            <w:tcBorders>
              <w:top w:val="single" w:sz="4" w:space="0" w:color="auto"/>
              <w:left w:val="nil"/>
              <w:bottom w:val="single" w:sz="4" w:space="0" w:color="auto"/>
              <w:right w:val="single" w:sz="4" w:space="0" w:color="auto"/>
            </w:tcBorders>
            <w:shd w:val="clear" w:color="auto" w:fill="auto"/>
            <w:noWrap/>
          </w:tcPr>
          <w:p w14:paraId="5DFDB943" w14:textId="77777777" w:rsidR="00CC7683" w:rsidRPr="00987577" w:rsidRDefault="00CC7683" w:rsidP="00CC7683">
            <w:pPr>
              <w:jc w:val="center"/>
            </w:pPr>
            <w:r w:rsidRPr="00987577">
              <w:t>14%</w:t>
            </w:r>
          </w:p>
        </w:tc>
        <w:tc>
          <w:tcPr>
            <w:tcW w:w="1276" w:type="dxa"/>
            <w:tcBorders>
              <w:top w:val="single" w:sz="4" w:space="0" w:color="auto"/>
              <w:left w:val="nil"/>
              <w:bottom w:val="single" w:sz="4" w:space="0" w:color="auto"/>
              <w:right w:val="single" w:sz="4" w:space="0" w:color="auto"/>
            </w:tcBorders>
            <w:shd w:val="clear" w:color="auto" w:fill="auto"/>
            <w:noWrap/>
          </w:tcPr>
          <w:p w14:paraId="69B91B93" w14:textId="77777777" w:rsidR="00CC7683" w:rsidRPr="00987577" w:rsidRDefault="00CC7683" w:rsidP="00CC7683">
            <w:pPr>
              <w:jc w:val="center"/>
            </w:pPr>
            <w:r w:rsidRPr="00987577">
              <w:t>2,559</w:t>
            </w:r>
          </w:p>
        </w:tc>
        <w:tc>
          <w:tcPr>
            <w:tcW w:w="1134" w:type="dxa"/>
            <w:tcBorders>
              <w:top w:val="single" w:sz="4" w:space="0" w:color="auto"/>
              <w:left w:val="nil"/>
              <w:bottom w:val="single" w:sz="4" w:space="0" w:color="auto"/>
              <w:right w:val="single" w:sz="4" w:space="0" w:color="auto"/>
            </w:tcBorders>
            <w:shd w:val="clear" w:color="auto" w:fill="auto"/>
            <w:noWrap/>
          </w:tcPr>
          <w:p w14:paraId="7D63C73E" w14:textId="77777777" w:rsidR="00CC7683" w:rsidRPr="00987577" w:rsidRDefault="00CC7683" w:rsidP="00CC7683">
            <w:pPr>
              <w:jc w:val="center"/>
            </w:pPr>
            <w:r w:rsidRPr="00987577">
              <w:t>0</w:t>
            </w:r>
          </w:p>
        </w:tc>
        <w:tc>
          <w:tcPr>
            <w:tcW w:w="992" w:type="dxa"/>
            <w:tcBorders>
              <w:top w:val="single" w:sz="4" w:space="0" w:color="auto"/>
              <w:left w:val="nil"/>
              <w:bottom w:val="single" w:sz="4" w:space="0" w:color="auto"/>
              <w:right w:val="single" w:sz="4" w:space="0" w:color="auto"/>
            </w:tcBorders>
            <w:shd w:val="clear" w:color="auto" w:fill="auto"/>
            <w:noWrap/>
          </w:tcPr>
          <w:p w14:paraId="77DF847D" w14:textId="77777777" w:rsidR="00CC7683" w:rsidRPr="00987577" w:rsidRDefault="00CC7683" w:rsidP="00CC7683">
            <w:pPr>
              <w:jc w:val="center"/>
            </w:pPr>
            <w:r w:rsidRPr="00987577">
              <w:t>0%</w:t>
            </w:r>
          </w:p>
        </w:tc>
        <w:tc>
          <w:tcPr>
            <w:tcW w:w="941" w:type="dxa"/>
            <w:tcBorders>
              <w:top w:val="single" w:sz="4" w:space="0" w:color="auto"/>
              <w:left w:val="nil"/>
              <w:bottom w:val="single" w:sz="4" w:space="0" w:color="auto"/>
              <w:right w:val="single" w:sz="4" w:space="0" w:color="auto"/>
            </w:tcBorders>
            <w:shd w:val="clear" w:color="auto" w:fill="auto"/>
          </w:tcPr>
          <w:p w14:paraId="54EAB010" w14:textId="77777777" w:rsidR="00CC7683" w:rsidRPr="00987577" w:rsidRDefault="00CC7683" w:rsidP="00CC7683">
            <w:pPr>
              <w:jc w:val="center"/>
            </w:pPr>
            <w:r w:rsidRPr="00987577">
              <w:t>1%</w:t>
            </w:r>
          </w:p>
        </w:tc>
      </w:tr>
      <w:tr w:rsidR="001B7A57" w:rsidRPr="00987577" w14:paraId="6A62F2BC" w14:textId="77777777" w:rsidTr="00810B8B">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14:paraId="13C1FECE" w14:textId="74E8BCD5" w:rsidR="001B7A57" w:rsidRPr="00987577" w:rsidRDefault="001B7A57" w:rsidP="00CC7683">
            <w:pPr>
              <w:rPr>
                <w:rFonts w:eastAsia="Times New Roman" w:cs="Arial"/>
                <w:szCs w:val="24"/>
                <w:lang w:eastAsia="en-GB"/>
              </w:rPr>
            </w:pPr>
            <w:r>
              <w:rPr>
                <w:rFonts w:eastAsia="Times New Roman" w:cs="Arial"/>
                <w:szCs w:val="24"/>
                <w:lang w:eastAsia="en-GB"/>
              </w:rPr>
              <w:t>2019/20</w:t>
            </w:r>
          </w:p>
        </w:tc>
        <w:tc>
          <w:tcPr>
            <w:tcW w:w="1276" w:type="dxa"/>
            <w:tcBorders>
              <w:top w:val="single" w:sz="4" w:space="0" w:color="auto"/>
              <w:left w:val="nil"/>
              <w:bottom w:val="single" w:sz="4" w:space="0" w:color="auto"/>
              <w:right w:val="single" w:sz="4" w:space="0" w:color="auto"/>
            </w:tcBorders>
            <w:shd w:val="clear" w:color="auto" w:fill="auto"/>
            <w:noWrap/>
          </w:tcPr>
          <w:p w14:paraId="1458D2B2" w14:textId="1C7AE777" w:rsidR="001B7A57" w:rsidRPr="00987577" w:rsidRDefault="00E73492" w:rsidP="00CC7683">
            <w:pPr>
              <w:jc w:val="center"/>
            </w:pPr>
            <w:r>
              <w:t>265</w:t>
            </w:r>
          </w:p>
        </w:tc>
        <w:tc>
          <w:tcPr>
            <w:tcW w:w="1134" w:type="dxa"/>
            <w:tcBorders>
              <w:top w:val="single" w:sz="4" w:space="0" w:color="auto"/>
              <w:left w:val="nil"/>
              <w:bottom w:val="single" w:sz="4" w:space="0" w:color="auto"/>
              <w:right w:val="single" w:sz="4" w:space="0" w:color="auto"/>
            </w:tcBorders>
            <w:shd w:val="clear" w:color="auto" w:fill="auto"/>
          </w:tcPr>
          <w:p w14:paraId="2E97B06F" w14:textId="0005606B" w:rsidR="001B7A57" w:rsidRPr="00987577" w:rsidRDefault="00E73492" w:rsidP="00CC7683">
            <w:pPr>
              <w:jc w:val="center"/>
            </w:pPr>
            <w:r>
              <w:t>27</w:t>
            </w:r>
          </w:p>
        </w:tc>
        <w:tc>
          <w:tcPr>
            <w:tcW w:w="992" w:type="dxa"/>
            <w:tcBorders>
              <w:top w:val="single" w:sz="4" w:space="0" w:color="auto"/>
              <w:left w:val="nil"/>
              <w:bottom w:val="single" w:sz="4" w:space="0" w:color="auto"/>
              <w:right w:val="single" w:sz="4" w:space="0" w:color="auto"/>
            </w:tcBorders>
            <w:shd w:val="clear" w:color="auto" w:fill="auto"/>
            <w:noWrap/>
          </w:tcPr>
          <w:p w14:paraId="0C586DE4" w14:textId="1BAE5BD6" w:rsidR="001B7A57" w:rsidRPr="00987577" w:rsidRDefault="00E73492" w:rsidP="00CC7683">
            <w:pPr>
              <w:jc w:val="center"/>
            </w:pPr>
            <w:r>
              <w:t>10%</w:t>
            </w:r>
          </w:p>
        </w:tc>
        <w:tc>
          <w:tcPr>
            <w:tcW w:w="1276" w:type="dxa"/>
            <w:tcBorders>
              <w:top w:val="single" w:sz="4" w:space="0" w:color="auto"/>
              <w:left w:val="nil"/>
              <w:bottom w:val="single" w:sz="4" w:space="0" w:color="auto"/>
              <w:right w:val="single" w:sz="4" w:space="0" w:color="auto"/>
            </w:tcBorders>
            <w:shd w:val="clear" w:color="auto" w:fill="auto"/>
            <w:noWrap/>
          </w:tcPr>
          <w:p w14:paraId="377C75F5" w14:textId="5322A5A5" w:rsidR="001B7A57" w:rsidRPr="00987577" w:rsidRDefault="00E73492" w:rsidP="00CC7683">
            <w:pPr>
              <w:jc w:val="center"/>
            </w:pPr>
            <w:r>
              <w:t>2,277</w:t>
            </w:r>
          </w:p>
        </w:tc>
        <w:tc>
          <w:tcPr>
            <w:tcW w:w="1134" w:type="dxa"/>
            <w:tcBorders>
              <w:top w:val="single" w:sz="4" w:space="0" w:color="auto"/>
              <w:left w:val="nil"/>
              <w:bottom w:val="single" w:sz="4" w:space="0" w:color="auto"/>
              <w:right w:val="single" w:sz="4" w:space="0" w:color="auto"/>
            </w:tcBorders>
            <w:shd w:val="clear" w:color="auto" w:fill="auto"/>
            <w:noWrap/>
          </w:tcPr>
          <w:p w14:paraId="3CC5FF56" w14:textId="23393A9E" w:rsidR="001B7A57" w:rsidRPr="00987577" w:rsidRDefault="00E73492" w:rsidP="00CC7683">
            <w:pPr>
              <w:jc w:val="center"/>
            </w:pPr>
            <w:r>
              <w:t>0</w:t>
            </w:r>
          </w:p>
        </w:tc>
        <w:tc>
          <w:tcPr>
            <w:tcW w:w="992" w:type="dxa"/>
            <w:tcBorders>
              <w:top w:val="single" w:sz="4" w:space="0" w:color="auto"/>
              <w:left w:val="nil"/>
              <w:bottom w:val="single" w:sz="4" w:space="0" w:color="auto"/>
              <w:right w:val="single" w:sz="4" w:space="0" w:color="auto"/>
            </w:tcBorders>
            <w:shd w:val="clear" w:color="auto" w:fill="auto"/>
            <w:noWrap/>
          </w:tcPr>
          <w:p w14:paraId="12E15D16" w14:textId="76D289D9" w:rsidR="001B7A57" w:rsidRPr="00987577" w:rsidRDefault="00E73492" w:rsidP="00CC7683">
            <w:pPr>
              <w:jc w:val="center"/>
            </w:pPr>
            <w:r>
              <w:t>0%</w:t>
            </w:r>
          </w:p>
        </w:tc>
        <w:tc>
          <w:tcPr>
            <w:tcW w:w="941" w:type="dxa"/>
            <w:tcBorders>
              <w:top w:val="single" w:sz="4" w:space="0" w:color="auto"/>
              <w:left w:val="nil"/>
              <w:bottom w:val="single" w:sz="4" w:space="0" w:color="auto"/>
              <w:right w:val="single" w:sz="4" w:space="0" w:color="auto"/>
            </w:tcBorders>
            <w:shd w:val="clear" w:color="auto" w:fill="auto"/>
          </w:tcPr>
          <w:p w14:paraId="6ABCDC79" w14:textId="6F3E035A" w:rsidR="001B7A57" w:rsidRPr="00987577" w:rsidRDefault="00E73492" w:rsidP="00CC7683">
            <w:pPr>
              <w:jc w:val="center"/>
            </w:pPr>
            <w:r>
              <w:t>1%</w:t>
            </w:r>
          </w:p>
        </w:tc>
      </w:tr>
      <w:tr w:rsidR="001B7A57" w:rsidRPr="00987577" w14:paraId="57FDFD72" w14:textId="77777777" w:rsidTr="00810B8B">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14:paraId="3621E1B8" w14:textId="079E9F5E" w:rsidR="001B7A57" w:rsidRDefault="001B7A57" w:rsidP="00CC7683">
            <w:pPr>
              <w:rPr>
                <w:rFonts w:eastAsia="Times New Roman" w:cs="Arial"/>
                <w:szCs w:val="24"/>
                <w:lang w:eastAsia="en-GB"/>
              </w:rPr>
            </w:pPr>
            <w:r>
              <w:rPr>
                <w:rFonts w:eastAsia="Times New Roman" w:cs="Arial"/>
                <w:szCs w:val="24"/>
                <w:lang w:eastAsia="en-GB"/>
              </w:rPr>
              <w:t>2020/21</w:t>
            </w:r>
          </w:p>
        </w:tc>
        <w:tc>
          <w:tcPr>
            <w:tcW w:w="1276" w:type="dxa"/>
            <w:tcBorders>
              <w:top w:val="single" w:sz="4" w:space="0" w:color="auto"/>
              <w:left w:val="nil"/>
              <w:bottom w:val="single" w:sz="4" w:space="0" w:color="auto"/>
              <w:right w:val="single" w:sz="4" w:space="0" w:color="auto"/>
            </w:tcBorders>
            <w:shd w:val="clear" w:color="auto" w:fill="auto"/>
            <w:noWrap/>
          </w:tcPr>
          <w:p w14:paraId="4CDD10A8" w14:textId="24DEA3BD" w:rsidR="001B7A57" w:rsidRPr="00987577" w:rsidRDefault="00E73492" w:rsidP="00CC7683">
            <w:pPr>
              <w:jc w:val="center"/>
            </w:pPr>
            <w:r>
              <w:t>223</w:t>
            </w:r>
          </w:p>
        </w:tc>
        <w:tc>
          <w:tcPr>
            <w:tcW w:w="1134" w:type="dxa"/>
            <w:tcBorders>
              <w:top w:val="single" w:sz="4" w:space="0" w:color="auto"/>
              <w:left w:val="nil"/>
              <w:bottom w:val="single" w:sz="4" w:space="0" w:color="auto"/>
              <w:right w:val="single" w:sz="4" w:space="0" w:color="auto"/>
            </w:tcBorders>
            <w:shd w:val="clear" w:color="auto" w:fill="auto"/>
          </w:tcPr>
          <w:p w14:paraId="57D4DB71" w14:textId="4BE2B5A6" w:rsidR="001B7A57" w:rsidRPr="00987577" w:rsidRDefault="00E73492" w:rsidP="00CC7683">
            <w:pPr>
              <w:jc w:val="center"/>
            </w:pPr>
            <w:r>
              <w:t>35</w:t>
            </w:r>
          </w:p>
        </w:tc>
        <w:tc>
          <w:tcPr>
            <w:tcW w:w="992" w:type="dxa"/>
            <w:tcBorders>
              <w:top w:val="single" w:sz="4" w:space="0" w:color="auto"/>
              <w:left w:val="nil"/>
              <w:bottom w:val="single" w:sz="4" w:space="0" w:color="auto"/>
              <w:right w:val="single" w:sz="4" w:space="0" w:color="auto"/>
            </w:tcBorders>
            <w:shd w:val="clear" w:color="auto" w:fill="auto"/>
            <w:noWrap/>
          </w:tcPr>
          <w:p w14:paraId="1BF352CC" w14:textId="506F7277" w:rsidR="001B7A57" w:rsidRPr="00987577" w:rsidRDefault="00E73492" w:rsidP="00CC7683">
            <w:pPr>
              <w:jc w:val="center"/>
            </w:pPr>
            <w:r>
              <w:t>16%</w:t>
            </w:r>
          </w:p>
        </w:tc>
        <w:tc>
          <w:tcPr>
            <w:tcW w:w="1276" w:type="dxa"/>
            <w:tcBorders>
              <w:top w:val="single" w:sz="4" w:space="0" w:color="auto"/>
              <w:left w:val="nil"/>
              <w:bottom w:val="single" w:sz="4" w:space="0" w:color="auto"/>
              <w:right w:val="single" w:sz="4" w:space="0" w:color="auto"/>
            </w:tcBorders>
            <w:shd w:val="clear" w:color="auto" w:fill="auto"/>
            <w:noWrap/>
          </w:tcPr>
          <w:p w14:paraId="60BC204B" w14:textId="1AEAFEB7" w:rsidR="001B7A57" w:rsidRPr="00987577" w:rsidRDefault="00E73492" w:rsidP="00CC7683">
            <w:pPr>
              <w:jc w:val="center"/>
            </w:pPr>
            <w:r>
              <w:t>2,736</w:t>
            </w:r>
          </w:p>
        </w:tc>
        <w:tc>
          <w:tcPr>
            <w:tcW w:w="1134" w:type="dxa"/>
            <w:tcBorders>
              <w:top w:val="single" w:sz="4" w:space="0" w:color="auto"/>
              <w:left w:val="nil"/>
              <w:bottom w:val="single" w:sz="4" w:space="0" w:color="auto"/>
              <w:right w:val="single" w:sz="4" w:space="0" w:color="auto"/>
            </w:tcBorders>
            <w:shd w:val="clear" w:color="auto" w:fill="auto"/>
            <w:noWrap/>
          </w:tcPr>
          <w:p w14:paraId="2C2FC253" w14:textId="11B7B240" w:rsidR="001B7A57" w:rsidRPr="00987577" w:rsidRDefault="00E73492" w:rsidP="00CC7683">
            <w:pPr>
              <w:jc w:val="center"/>
            </w:pPr>
            <w:r>
              <w:t>10</w:t>
            </w:r>
          </w:p>
        </w:tc>
        <w:tc>
          <w:tcPr>
            <w:tcW w:w="992" w:type="dxa"/>
            <w:tcBorders>
              <w:top w:val="single" w:sz="4" w:space="0" w:color="auto"/>
              <w:left w:val="nil"/>
              <w:bottom w:val="single" w:sz="4" w:space="0" w:color="auto"/>
              <w:right w:val="single" w:sz="4" w:space="0" w:color="auto"/>
            </w:tcBorders>
            <w:shd w:val="clear" w:color="auto" w:fill="auto"/>
            <w:noWrap/>
          </w:tcPr>
          <w:p w14:paraId="3F3EC544" w14:textId="5C697F53" w:rsidR="001B7A57" w:rsidRPr="00987577" w:rsidRDefault="00E73492" w:rsidP="00CC7683">
            <w:pPr>
              <w:jc w:val="center"/>
            </w:pPr>
            <w:r>
              <w:t>0%</w:t>
            </w:r>
          </w:p>
        </w:tc>
        <w:tc>
          <w:tcPr>
            <w:tcW w:w="941" w:type="dxa"/>
            <w:tcBorders>
              <w:top w:val="single" w:sz="4" w:space="0" w:color="auto"/>
              <w:left w:val="nil"/>
              <w:bottom w:val="single" w:sz="4" w:space="0" w:color="auto"/>
              <w:right w:val="single" w:sz="4" w:space="0" w:color="auto"/>
            </w:tcBorders>
            <w:shd w:val="clear" w:color="auto" w:fill="auto"/>
          </w:tcPr>
          <w:p w14:paraId="662296BF" w14:textId="703A6687" w:rsidR="001B7A57" w:rsidRPr="00987577" w:rsidRDefault="00E73492" w:rsidP="00CC7683">
            <w:pPr>
              <w:jc w:val="center"/>
            </w:pPr>
            <w:r>
              <w:t>2%</w:t>
            </w:r>
          </w:p>
        </w:tc>
      </w:tr>
      <w:tr w:rsidR="001D20B9" w:rsidRPr="00987577" w14:paraId="0C8A191D" w14:textId="77777777" w:rsidTr="00810B8B">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14:paraId="3C004571" w14:textId="7429B120" w:rsidR="001D20B9" w:rsidRDefault="001D20B9" w:rsidP="00CC7683">
            <w:pPr>
              <w:rPr>
                <w:rFonts w:eastAsia="Times New Roman" w:cs="Arial"/>
                <w:szCs w:val="24"/>
                <w:lang w:eastAsia="en-GB"/>
              </w:rPr>
            </w:pPr>
            <w:r>
              <w:rPr>
                <w:rFonts w:eastAsia="Times New Roman" w:cs="Arial"/>
                <w:szCs w:val="24"/>
                <w:lang w:eastAsia="en-GB"/>
              </w:rPr>
              <w:t>2021/22</w:t>
            </w:r>
          </w:p>
        </w:tc>
        <w:tc>
          <w:tcPr>
            <w:tcW w:w="1276" w:type="dxa"/>
            <w:tcBorders>
              <w:top w:val="single" w:sz="4" w:space="0" w:color="auto"/>
              <w:left w:val="nil"/>
              <w:bottom w:val="single" w:sz="4" w:space="0" w:color="auto"/>
              <w:right w:val="single" w:sz="4" w:space="0" w:color="auto"/>
            </w:tcBorders>
            <w:shd w:val="clear" w:color="auto" w:fill="auto"/>
            <w:noWrap/>
          </w:tcPr>
          <w:p w14:paraId="7174DFBB" w14:textId="782BACAC" w:rsidR="001D20B9" w:rsidRDefault="003E055F" w:rsidP="00CC7683">
            <w:pPr>
              <w:jc w:val="center"/>
            </w:pPr>
            <w:r>
              <w:t>194</w:t>
            </w:r>
          </w:p>
        </w:tc>
        <w:tc>
          <w:tcPr>
            <w:tcW w:w="1134" w:type="dxa"/>
            <w:tcBorders>
              <w:top w:val="single" w:sz="4" w:space="0" w:color="auto"/>
              <w:left w:val="nil"/>
              <w:bottom w:val="single" w:sz="4" w:space="0" w:color="auto"/>
              <w:right w:val="single" w:sz="4" w:space="0" w:color="auto"/>
            </w:tcBorders>
            <w:shd w:val="clear" w:color="auto" w:fill="auto"/>
          </w:tcPr>
          <w:p w14:paraId="2BB8076A" w14:textId="2C47E65D" w:rsidR="001D20B9" w:rsidRDefault="003E055F" w:rsidP="00CC7683">
            <w:pPr>
              <w:jc w:val="center"/>
            </w:pPr>
            <w:r>
              <w:t>24</w:t>
            </w:r>
          </w:p>
        </w:tc>
        <w:tc>
          <w:tcPr>
            <w:tcW w:w="992" w:type="dxa"/>
            <w:tcBorders>
              <w:top w:val="single" w:sz="4" w:space="0" w:color="auto"/>
              <w:left w:val="nil"/>
              <w:bottom w:val="single" w:sz="4" w:space="0" w:color="auto"/>
              <w:right w:val="single" w:sz="4" w:space="0" w:color="auto"/>
            </w:tcBorders>
            <w:shd w:val="clear" w:color="auto" w:fill="auto"/>
            <w:noWrap/>
          </w:tcPr>
          <w:p w14:paraId="4E01385C" w14:textId="5DFEE4C8" w:rsidR="001D20B9" w:rsidRDefault="003E055F" w:rsidP="00CC7683">
            <w:pPr>
              <w:jc w:val="center"/>
            </w:pPr>
            <w:r>
              <w:t>12%</w:t>
            </w:r>
          </w:p>
        </w:tc>
        <w:tc>
          <w:tcPr>
            <w:tcW w:w="1276" w:type="dxa"/>
            <w:tcBorders>
              <w:top w:val="single" w:sz="4" w:space="0" w:color="auto"/>
              <w:left w:val="nil"/>
              <w:bottom w:val="single" w:sz="4" w:space="0" w:color="auto"/>
              <w:right w:val="single" w:sz="4" w:space="0" w:color="auto"/>
            </w:tcBorders>
            <w:shd w:val="clear" w:color="auto" w:fill="auto"/>
            <w:noWrap/>
          </w:tcPr>
          <w:p w14:paraId="1FDC0CDF" w14:textId="5C5C2AC5" w:rsidR="001D20B9" w:rsidRDefault="003E055F" w:rsidP="00CC7683">
            <w:pPr>
              <w:jc w:val="center"/>
            </w:pPr>
            <w:r>
              <w:t>2,826</w:t>
            </w:r>
          </w:p>
        </w:tc>
        <w:tc>
          <w:tcPr>
            <w:tcW w:w="1134" w:type="dxa"/>
            <w:tcBorders>
              <w:top w:val="single" w:sz="4" w:space="0" w:color="auto"/>
              <w:left w:val="nil"/>
              <w:bottom w:val="single" w:sz="4" w:space="0" w:color="auto"/>
              <w:right w:val="single" w:sz="4" w:space="0" w:color="auto"/>
            </w:tcBorders>
            <w:shd w:val="clear" w:color="auto" w:fill="auto"/>
            <w:noWrap/>
          </w:tcPr>
          <w:p w14:paraId="57E68C9E" w14:textId="5ACA964F" w:rsidR="001D20B9" w:rsidRDefault="003E055F" w:rsidP="00CC7683">
            <w:pPr>
              <w:jc w:val="center"/>
            </w:pPr>
            <w:r>
              <w:t>12</w:t>
            </w:r>
          </w:p>
        </w:tc>
        <w:tc>
          <w:tcPr>
            <w:tcW w:w="992" w:type="dxa"/>
            <w:tcBorders>
              <w:top w:val="single" w:sz="4" w:space="0" w:color="auto"/>
              <w:left w:val="nil"/>
              <w:bottom w:val="single" w:sz="4" w:space="0" w:color="auto"/>
              <w:right w:val="single" w:sz="4" w:space="0" w:color="auto"/>
            </w:tcBorders>
            <w:shd w:val="clear" w:color="auto" w:fill="auto"/>
            <w:noWrap/>
          </w:tcPr>
          <w:p w14:paraId="42AD7FC9" w14:textId="14DA981C" w:rsidR="001D20B9" w:rsidRDefault="003E055F" w:rsidP="00CC7683">
            <w:pPr>
              <w:jc w:val="center"/>
            </w:pPr>
            <w:r>
              <w:t>0%</w:t>
            </w:r>
          </w:p>
        </w:tc>
        <w:tc>
          <w:tcPr>
            <w:tcW w:w="941" w:type="dxa"/>
            <w:tcBorders>
              <w:top w:val="single" w:sz="4" w:space="0" w:color="auto"/>
              <w:left w:val="nil"/>
              <w:bottom w:val="single" w:sz="4" w:space="0" w:color="auto"/>
              <w:right w:val="single" w:sz="4" w:space="0" w:color="auto"/>
            </w:tcBorders>
            <w:shd w:val="clear" w:color="auto" w:fill="auto"/>
          </w:tcPr>
          <w:p w14:paraId="150C1B90" w14:textId="015E049B" w:rsidR="001D20B9" w:rsidRDefault="003E055F" w:rsidP="00CC7683">
            <w:pPr>
              <w:jc w:val="center"/>
            </w:pPr>
            <w:r>
              <w:t>1%</w:t>
            </w:r>
          </w:p>
        </w:tc>
      </w:tr>
      <w:tr w:rsidR="001201D7" w:rsidRPr="00987577" w14:paraId="27DB8DC3" w14:textId="77777777" w:rsidTr="00810B8B">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tcPr>
          <w:p w14:paraId="105038CE" w14:textId="01590AFB" w:rsidR="001201D7" w:rsidRDefault="001201D7" w:rsidP="00CC7683">
            <w:pPr>
              <w:rPr>
                <w:rFonts w:eastAsia="Times New Roman" w:cs="Arial"/>
                <w:szCs w:val="24"/>
                <w:lang w:eastAsia="en-GB"/>
              </w:rPr>
            </w:pPr>
            <w:r>
              <w:rPr>
                <w:rFonts w:eastAsia="Times New Roman" w:cs="Arial"/>
                <w:szCs w:val="24"/>
                <w:lang w:eastAsia="en-GB"/>
              </w:rPr>
              <w:t>2022/23</w:t>
            </w:r>
          </w:p>
        </w:tc>
        <w:tc>
          <w:tcPr>
            <w:tcW w:w="1276" w:type="dxa"/>
            <w:tcBorders>
              <w:top w:val="single" w:sz="4" w:space="0" w:color="auto"/>
              <w:left w:val="nil"/>
              <w:bottom w:val="single" w:sz="4" w:space="0" w:color="auto"/>
              <w:right w:val="single" w:sz="4" w:space="0" w:color="auto"/>
            </w:tcBorders>
            <w:shd w:val="clear" w:color="auto" w:fill="auto"/>
            <w:noWrap/>
          </w:tcPr>
          <w:p w14:paraId="709FE8F6" w14:textId="2B590E10" w:rsidR="001201D7" w:rsidRDefault="001201D7" w:rsidP="00CC7683">
            <w:pPr>
              <w:jc w:val="center"/>
            </w:pPr>
            <w:r>
              <w:t>199</w:t>
            </w:r>
          </w:p>
        </w:tc>
        <w:tc>
          <w:tcPr>
            <w:tcW w:w="1134" w:type="dxa"/>
            <w:tcBorders>
              <w:top w:val="single" w:sz="4" w:space="0" w:color="auto"/>
              <w:left w:val="nil"/>
              <w:bottom w:val="single" w:sz="4" w:space="0" w:color="auto"/>
              <w:right w:val="single" w:sz="4" w:space="0" w:color="auto"/>
            </w:tcBorders>
            <w:shd w:val="clear" w:color="auto" w:fill="auto"/>
          </w:tcPr>
          <w:p w14:paraId="41B91310" w14:textId="062FC78E" w:rsidR="001201D7" w:rsidRDefault="001201D7" w:rsidP="00CC7683">
            <w:pPr>
              <w:jc w:val="center"/>
            </w:pPr>
            <w:r>
              <w:t>19</w:t>
            </w:r>
          </w:p>
        </w:tc>
        <w:tc>
          <w:tcPr>
            <w:tcW w:w="992" w:type="dxa"/>
            <w:tcBorders>
              <w:top w:val="single" w:sz="4" w:space="0" w:color="auto"/>
              <w:left w:val="nil"/>
              <w:bottom w:val="single" w:sz="4" w:space="0" w:color="auto"/>
              <w:right w:val="single" w:sz="4" w:space="0" w:color="auto"/>
            </w:tcBorders>
            <w:shd w:val="clear" w:color="auto" w:fill="auto"/>
            <w:noWrap/>
          </w:tcPr>
          <w:p w14:paraId="741D23A7" w14:textId="6709BB26" w:rsidR="001201D7" w:rsidRDefault="001201D7" w:rsidP="00CC7683">
            <w:pPr>
              <w:jc w:val="center"/>
            </w:pPr>
            <w:r>
              <w:t>10%</w:t>
            </w:r>
          </w:p>
        </w:tc>
        <w:tc>
          <w:tcPr>
            <w:tcW w:w="1276" w:type="dxa"/>
            <w:tcBorders>
              <w:top w:val="single" w:sz="4" w:space="0" w:color="auto"/>
              <w:left w:val="nil"/>
              <w:bottom w:val="single" w:sz="4" w:space="0" w:color="auto"/>
              <w:right w:val="single" w:sz="4" w:space="0" w:color="auto"/>
            </w:tcBorders>
            <w:shd w:val="clear" w:color="auto" w:fill="auto"/>
            <w:noWrap/>
          </w:tcPr>
          <w:p w14:paraId="1CEDAB84" w14:textId="192AD58D" w:rsidR="001201D7" w:rsidRDefault="001201D7" w:rsidP="00CC7683">
            <w:pPr>
              <w:jc w:val="center"/>
            </w:pPr>
            <w:r>
              <w:t>2,347</w:t>
            </w:r>
          </w:p>
        </w:tc>
        <w:tc>
          <w:tcPr>
            <w:tcW w:w="1134" w:type="dxa"/>
            <w:tcBorders>
              <w:top w:val="single" w:sz="4" w:space="0" w:color="auto"/>
              <w:left w:val="nil"/>
              <w:bottom w:val="single" w:sz="4" w:space="0" w:color="auto"/>
              <w:right w:val="single" w:sz="4" w:space="0" w:color="auto"/>
            </w:tcBorders>
            <w:shd w:val="clear" w:color="auto" w:fill="auto"/>
            <w:noWrap/>
          </w:tcPr>
          <w:p w14:paraId="64D9A584" w14:textId="0E620FB1" w:rsidR="001201D7" w:rsidRDefault="001201D7" w:rsidP="00CC7683">
            <w:pPr>
              <w:jc w:val="center"/>
            </w:pPr>
            <w:r>
              <w:t>32</w:t>
            </w:r>
          </w:p>
        </w:tc>
        <w:tc>
          <w:tcPr>
            <w:tcW w:w="992" w:type="dxa"/>
            <w:tcBorders>
              <w:top w:val="single" w:sz="4" w:space="0" w:color="auto"/>
              <w:left w:val="nil"/>
              <w:bottom w:val="single" w:sz="4" w:space="0" w:color="auto"/>
              <w:right w:val="single" w:sz="4" w:space="0" w:color="auto"/>
            </w:tcBorders>
            <w:shd w:val="clear" w:color="auto" w:fill="auto"/>
            <w:noWrap/>
          </w:tcPr>
          <w:p w14:paraId="0CAFAC7F" w14:textId="252DE154" w:rsidR="001201D7" w:rsidRDefault="001201D7" w:rsidP="00CC7683">
            <w:pPr>
              <w:jc w:val="center"/>
            </w:pPr>
            <w:r>
              <w:t>1%</w:t>
            </w:r>
          </w:p>
        </w:tc>
        <w:tc>
          <w:tcPr>
            <w:tcW w:w="941" w:type="dxa"/>
            <w:tcBorders>
              <w:top w:val="single" w:sz="4" w:space="0" w:color="auto"/>
              <w:left w:val="nil"/>
              <w:bottom w:val="single" w:sz="4" w:space="0" w:color="auto"/>
              <w:right w:val="single" w:sz="4" w:space="0" w:color="auto"/>
            </w:tcBorders>
            <w:shd w:val="clear" w:color="auto" w:fill="auto"/>
          </w:tcPr>
          <w:p w14:paraId="4A793B0F" w14:textId="3A860FDE" w:rsidR="001201D7" w:rsidRDefault="001201D7" w:rsidP="00CC7683">
            <w:pPr>
              <w:jc w:val="center"/>
            </w:pPr>
            <w:r>
              <w:t>2%</w:t>
            </w:r>
          </w:p>
        </w:tc>
      </w:tr>
      <w:tr w:rsidR="00CC7683" w:rsidRPr="00D56EE6" w14:paraId="485A3ECE" w14:textId="77777777" w:rsidTr="00810B8B">
        <w:trPr>
          <w:trHeight w:val="312"/>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14:paraId="728BB35B" w14:textId="1BBF2488" w:rsidR="00CC7683" w:rsidRPr="00987577" w:rsidRDefault="00CC7683" w:rsidP="00DB12E4">
            <w:pPr>
              <w:ind w:right="-122"/>
              <w:rPr>
                <w:rFonts w:eastAsia="Times New Roman" w:cs="Arial"/>
                <w:b/>
                <w:bCs/>
                <w:szCs w:val="24"/>
                <w:lang w:eastAsia="en-GB"/>
              </w:rPr>
            </w:pPr>
            <w:r w:rsidRPr="00987577">
              <w:rPr>
                <w:rFonts w:eastAsia="Times New Roman" w:cs="Arial"/>
                <w:b/>
                <w:bCs/>
                <w:szCs w:val="24"/>
                <w:lang w:eastAsia="en-GB"/>
              </w:rPr>
              <w:lastRenderedPageBreak/>
              <w:t>A</w:t>
            </w:r>
            <w:r w:rsidR="00DB12E4">
              <w:rPr>
                <w:rFonts w:eastAsia="Times New Roman" w:cs="Arial"/>
                <w:b/>
                <w:bCs/>
                <w:szCs w:val="24"/>
                <w:lang w:eastAsia="en-GB"/>
              </w:rPr>
              <w:t>verage</w:t>
            </w:r>
          </w:p>
        </w:tc>
        <w:tc>
          <w:tcPr>
            <w:tcW w:w="1276" w:type="dxa"/>
            <w:tcBorders>
              <w:top w:val="single" w:sz="4" w:space="0" w:color="auto"/>
              <w:left w:val="nil"/>
              <w:bottom w:val="single" w:sz="4" w:space="0" w:color="auto"/>
              <w:right w:val="single" w:sz="4" w:space="0" w:color="auto"/>
            </w:tcBorders>
            <w:shd w:val="clear" w:color="auto" w:fill="auto"/>
            <w:noWrap/>
          </w:tcPr>
          <w:p w14:paraId="746C9CC5" w14:textId="77777777" w:rsidR="00CC7683" w:rsidRPr="00987577" w:rsidRDefault="00CC7683" w:rsidP="00CC7683">
            <w:pPr>
              <w:jc w:val="center"/>
              <w:rPr>
                <w:b/>
              </w:rPr>
            </w:pPr>
          </w:p>
        </w:tc>
        <w:tc>
          <w:tcPr>
            <w:tcW w:w="1134" w:type="dxa"/>
            <w:tcBorders>
              <w:top w:val="single" w:sz="4" w:space="0" w:color="auto"/>
              <w:left w:val="nil"/>
              <w:bottom w:val="single" w:sz="4" w:space="0" w:color="auto"/>
              <w:right w:val="single" w:sz="4" w:space="0" w:color="auto"/>
            </w:tcBorders>
            <w:shd w:val="clear" w:color="auto" w:fill="auto"/>
          </w:tcPr>
          <w:p w14:paraId="05C7355F" w14:textId="0DAC6478" w:rsidR="00CC7683" w:rsidRPr="00987577" w:rsidRDefault="00E73492" w:rsidP="001B7A57">
            <w:pPr>
              <w:jc w:val="center"/>
              <w:rPr>
                <w:b/>
              </w:rPr>
            </w:pPr>
            <w:r>
              <w:rPr>
                <w:b/>
              </w:rPr>
              <w:t>22</w:t>
            </w:r>
          </w:p>
        </w:tc>
        <w:tc>
          <w:tcPr>
            <w:tcW w:w="992" w:type="dxa"/>
            <w:tcBorders>
              <w:top w:val="single" w:sz="4" w:space="0" w:color="auto"/>
              <w:left w:val="nil"/>
              <w:bottom w:val="single" w:sz="4" w:space="0" w:color="auto"/>
              <w:right w:val="single" w:sz="4" w:space="0" w:color="auto"/>
            </w:tcBorders>
            <w:shd w:val="clear" w:color="auto" w:fill="auto"/>
            <w:noWrap/>
          </w:tcPr>
          <w:p w14:paraId="46571E1B" w14:textId="0D9FCEB0" w:rsidR="00CC7683" w:rsidRPr="00987577" w:rsidRDefault="00E73492" w:rsidP="001B7A57">
            <w:pPr>
              <w:jc w:val="center"/>
              <w:rPr>
                <w:b/>
              </w:rPr>
            </w:pPr>
            <w:r>
              <w:rPr>
                <w:b/>
              </w:rPr>
              <w:t>9</w:t>
            </w:r>
            <w:r w:rsidR="00CC7683" w:rsidRPr="00987577">
              <w:rPr>
                <w:b/>
              </w:rPr>
              <w:t>%</w:t>
            </w:r>
          </w:p>
        </w:tc>
        <w:tc>
          <w:tcPr>
            <w:tcW w:w="1276" w:type="dxa"/>
            <w:tcBorders>
              <w:top w:val="single" w:sz="4" w:space="0" w:color="auto"/>
              <w:left w:val="nil"/>
              <w:bottom w:val="single" w:sz="4" w:space="0" w:color="auto"/>
              <w:right w:val="single" w:sz="4" w:space="0" w:color="auto"/>
            </w:tcBorders>
            <w:shd w:val="clear" w:color="auto" w:fill="auto"/>
            <w:noWrap/>
          </w:tcPr>
          <w:p w14:paraId="172ACC2D" w14:textId="77777777" w:rsidR="00CC7683" w:rsidRPr="00987577" w:rsidRDefault="00CC7683" w:rsidP="00CC7683">
            <w:pPr>
              <w:jc w:val="center"/>
              <w:rPr>
                <w:b/>
              </w:rPr>
            </w:pPr>
          </w:p>
        </w:tc>
        <w:tc>
          <w:tcPr>
            <w:tcW w:w="1134" w:type="dxa"/>
            <w:tcBorders>
              <w:top w:val="single" w:sz="4" w:space="0" w:color="auto"/>
              <w:left w:val="nil"/>
              <w:bottom w:val="single" w:sz="4" w:space="0" w:color="auto"/>
              <w:right w:val="single" w:sz="4" w:space="0" w:color="auto"/>
            </w:tcBorders>
            <w:shd w:val="clear" w:color="auto" w:fill="auto"/>
            <w:noWrap/>
          </w:tcPr>
          <w:p w14:paraId="5FE79012" w14:textId="3BE0472A" w:rsidR="00CC7683" w:rsidRPr="00987577" w:rsidRDefault="003E055F" w:rsidP="003E055F">
            <w:pPr>
              <w:jc w:val="center"/>
              <w:rPr>
                <w:b/>
              </w:rPr>
            </w:pPr>
            <w:r>
              <w:rPr>
                <w:b/>
              </w:rPr>
              <w:t>2</w:t>
            </w:r>
            <w:r w:rsidR="001201D7">
              <w:rPr>
                <w:b/>
              </w:rPr>
              <w:t>7</w:t>
            </w:r>
          </w:p>
        </w:tc>
        <w:tc>
          <w:tcPr>
            <w:tcW w:w="992" w:type="dxa"/>
            <w:tcBorders>
              <w:top w:val="single" w:sz="4" w:space="0" w:color="auto"/>
              <w:left w:val="nil"/>
              <w:bottom w:val="single" w:sz="4" w:space="0" w:color="auto"/>
              <w:right w:val="single" w:sz="4" w:space="0" w:color="auto"/>
            </w:tcBorders>
            <w:shd w:val="clear" w:color="auto" w:fill="auto"/>
            <w:noWrap/>
          </w:tcPr>
          <w:p w14:paraId="518EE572" w14:textId="68CE8494" w:rsidR="00CC7683" w:rsidRPr="00987577" w:rsidRDefault="00CC7683" w:rsidP="00CC7683">
            <w:pPr>
              <w:jc w:val="center"/>
              <w:rPr>
                <w:b/>
              </w:rPr>
            </w:pPr>
            <w:r w:rsidRPr="00987577">
              <w:rPr>
                <w:b/>
              </w:rPr>
              <w:t>1%</w:t>
            </w:r>
          </w:p>
        </w:tc>
        <w:tc>
          <w:tcPr>
            <w:tcW w:w="941" w:type="dxa"/>
            <w:tcBorders>
              <w:top w:val="single" w:sz="4" w:space="0" w:color="auto"/>
              <w:left w:val="nil"/>
              <w:bottom w:val="single" w:sz="4" w:space="0" w:color="auto"/>
              <w:right w:val="single" w:sz="4" w:space="0" w:color="auto"/>
            </w:tcBorders>
            <w:shd w:val="clear" w:color="auto" w:fill="auto"/>
          </w:tcPr>
          <w:p w14:paraId="72051742" w14:textId="2866D7BA" w:rsidR="00CC7683" w:rsidRPr="00987577" w:rsidRDefault="00E73492" w:rsidP="00CC7683">
            <w:pPr>
              <w:jc w:val="center"/>
              <w:rPr>
                <w:b/>
              </w:rPr>
            </w:pPr>
            <w:r>
              <w:rPr>
                <w:b/>
              </w:rPr>
              <w:t>2</w:t>
            </w:r>
            <w:r w:rsidR="00CC7683" w:rsidRPr="00987577">
              <w:rPr>
                <w:b/>
              </w:rPr>
              <w:t>%</w:t>
            </w:r>
          </w:p>
        </w:tc>
      </w:tr>
    </w:tbl>
    <w:p w14:paraId="49283A2E" w14:textId="77777777" w:rsidR="00490730" w:rsidRDefault="00490730" w:rsidP="00490730">
      <w:pPr>
        <w:pStyle w:val="NoSpacing"/>
      </w:pPr>
    </w:p>
    <w:p w14:paraId="3B5715EA" w14:textId="77777777" w:rsidR="008A541F" w:rsidRPr="005D67FB" w:rsidRDefault="008A541F" w:rsidP="008A541F">
      <w:pPr>
        <w:rPr>
          <w:szCs w:val="24"/>
          <w:u w:val="single"/>
        </w:rPr>
      </w:pPr>
      <w:r w:rsidRPr="005D67FB">
        <w:rPr>
          <w:szCs w:val="24"/>
          <w:u w:val="single"/>
        </w:rPr>
        <w:t>Lapse rate calculations used:</w:t>
      </w:r>
    </w:p>
    <w:p w14:paraId="16F08269" w14:textId="2195A7FF" w:rsidR="008A541F" w:rsidRDefault="008A541F" w:rsidP="008A541F">
      <w:pPr>
        <w:rPr>
          <w:szCs w:val="24"/>
        </w:rPr>
      </w:pPr>
      <w:r w:rsidRPr="005D67FB">
        <w:rPr>
          <w:szCs w:val="24"/>
        </w:rPr>
        <w:t>Lapse rate = the number of dwellings with permission lapsed for each year divided by the number of</w:t>
      </w:r>
      <w:r w:rsidRPr="006A693C">
        <w:rPr>
          <w:szCs w:val="24"/>
        </w:rPr>
        <w:t xml:space="preserve"> unimplemented dwellings with extant planning permission (excluding those under cons</w:t>
      </w:r>
      <w:r>
        <w:rPr>
          <w:szCs w:val="24"/>
        </w:rPr>
        <w:t>truction) at 31 March each year.</w:t>
      </w:r>
    </w:p>
    <w:p w14:paraId="055A932B" w14:textId="77777777" w:rsidR="008A541F" w:rsidRPr="008A541F" w:rsidRDefault="008A541F" w:rsidP="008A541F">
      <w:pPr>
        <w:pStyle w:val="NoSpacing"/>
      </w:pPr>
    </w:p>
    <w:p w14:paraId="48AAC7E4" w14:textId="77777777" w:rsidR="00987577" w:rsidRPr="00E30484" w:rsidRDefault="00987577" w:rsidP="00987577">
      <w:pPr>
        <w:pStyle w:val="NoSpacing"/>
        <w:rPr>
          <w:u w:val="single"/>
        </w:rPr>
      </w:pPr>
      <w:r>
        <w:rPr>
          <w:u w:val="single"/>
        </w:rPr>
        <w:t>Annotations:</w:t>
      </w:r>
    </w:p>
    <w:p w14:paraId="4845AA44" w14:textId="77777777" w:rsidR="005C099A" w:rsidRDefault="005C099A" w:rsidP="005C099A">
      <w:pPr>
        <w:pStyle w:val="ListParagraph"/>
        <w:numPr>
          <w:ilvl w:val="0"/>
          <w:numId w:val="7"/>
        </w:numPr>
        <w:contextualSpacing w:val="0"/>
        <w:rPr>
          <w:szCs w:val="24"/>
        </w:rPr>
      </w:pPr>
      <w:r>
        <w:rPr>
          <w:szCs w:val="24"/>
        </w:rPr>
        <w:t>Gross figures used.</w:t>
      </w:r>
    </w:p>
    <w:p w14:paraId="62C8F193" w14:textId="591CCB2F" w:rsidR="006A693C" w:rsidRDefault="00987577" w:rsidP="000A3C19">
      <w:pPr>
        <w:pStyle w:val="NoSpacing"/>
        <w:numPr>
          <w:ilvl w:val="0"/>
          <w:numId w:val="7"/>
        </w:numPr>
      </w:pPr>
      <w:r>
        <w:t xml:space="preserve">Period includes 1 April </w:t>
      </w:r>
      <w:r w:rsidR="001B7A57">
        <w:t>201</w:t>
      </w:r>
      <w:r w:rsidR="001201D7">
        <w:t>3</w:t>
      </w:r>
      <w:r w:rsidR="001B7A57">
        <w:t xml:space="preserve"> </w:t>
      </w:r>
      <w:r w:rsidR="005A7062">
        <w:rPr>
          <w:szCs w:val="24"/>
        </w:rPr>
        <w:t xml:space="preserve">– </w:t>
      </w:r>
      <w:r>
        <w:t>31 March</w:t>
      </w:r>
      <w:r w:rsidR="001B7A57">
        <w:t xml:space="preserve"> 202</w:t>
      </w:r>
      <w:r w:rsidR="001201D7">
        <w:t>3</w:t>
      </w:r>
      <w:r>
        <w:t>.</w:t>
      </w:r>
    </w:p>
    <w:p w14:paraId="6E868118" w14:textId="42C87822" w:rsidR="006A693C" w:rsidRPr="006A693C" w:rsidRDefault="006A693C" w:rsidP="006A693C">
      <w:pPr>
        <w:pStyle w:val="NoSpacing"/>
        <w:numPr>
          <w:ilvl w:val="0"/>
          <w:numId w:val="7"/>
        </w:numPr>
      </w:pPr>
      <w:r w:rsidRPr="006A693C">
        <w:rPr>
          <w:szCs w:val="24"/>
        </w:rPr>
        <w:t>Includes</w:t>
      </w:r>
      <w:r>
        <w:rPr>
          <w:szCs w:val="24"/>
        </w:rPr>
        <w:t xml:space="preserve"> </w:t>
      </w:r>
      <w:r w:rsidRPr="006A693C">
        <w:rPr>
          <w:szCs w:val="24"/>
        </w:rPr>
        <w:t>number of unimplemented dwellings with extant planning permission (excluding those under construction) at 31 March each year.</w:t>
      </w:r>
    </w:p>
    <w:p w14:paraId="7E431A58" w14:textId="66AF488B" w:rsidR="006A693C" w:rsidRPr="005D67FB" w:rsidRDefault="006A693C" w:rsidP="006A693C">
      <w:pPr>
        <w:pStyle w:val="ListParagraph"/>
        <w:numPr>
          <w:ilvl w:val="0"/>
          <w:numId w:val="7"/>
        </w:numPr>
        <w:contextualSpacing w:val="0"/>
        <w:rPr>
          <w:szCs w:val="24"/>
        </w:rPr>
      </w:pPr>
      <w:r w:rsidRPr="005D67FB">
        <w:rPr>
          <w:szCs w:val="24"/>
        </w:rPr>
        <w:t>Includes number of dwellings with permission lapsed for each year.</w:t>
      </w:r>
    </w:p>
    <w:p w14:paraId="700AF667" w14:textId="3C08E492" w:rsidR="006A693C" w:rsidRPr="005D67FB" w:rsidRDefault="006A693C" w:rsidP="006A693C">
      <w:pPr>
        <w:pStyle w:val="ListParagraph"/>
        <w:numPr>
          <w:ilvl w:val="0"/>
          <w:numId w:val="7"/>
        </w:numPr>
        <w:contextualSpacing w:val="0"/>
        <w:rPr>
          <w:szCs w:val="24"/>
        </w:rPr>
      </w:pPr>
      <w:r w:rsidRPr="005D67FB">
        <w:rPr>
          <w:szCs w:val="24"/>
        </w:rPr>
        <w:t>Excludes plots under construction and plot completions.</w:t>
      </w:r>
    </w:p>
    <w:p w14:paraId="39682D36" w14:textId="2A873D2A" w:rsidR="00716DDF" w:rsidRPr="00490730" w:rsidRDefault="00716DDF" w:rsidP="00522658"/>
    <w:sectPr w:rsidR="00716DDF" w:rsidRPr="00490730" w:rsidSect="00487894">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73335" w14:textId="77777777" w:rsidR="00EC2504" w:rsidRDefault="00EC2504" w:rsidP="00CD5D58">
      <w:r>
        <w:separator/>
      </w:r>
    </w:p>
  </w:endnote>
  <w:endnote w:type="continuationSeparator" w:id="0">
    <w:p w14:paraId="50F7EDDE" w14:textId="77777777" w:rsidR="00EC2504" w:rsidRDefault="00EC2504" w:rsidP="00CD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998082"/>
      <w:docPartObj>
        <w:docPartGallery w:val="Page Numbers (Bottom of Page)"/>
        <w:docPartUnique/>
      </w:docPartObj>
    </w:sdtPr>
    <w:sdtEndPr>
      <w:rPr>
        <w:noProof/>
      </w:rPr>
    </w:sdtEndPr>
    <w:sdtContent>
      <w:p w14:paraId="56BF97CD" w14:textId="798B7E03" w:rsidR="005C1B32" w:rsidRDefault="005C1B32">
        <w:pPr>
          <w:pStyle w:val="Footer"/>
          <w:jc w:val="right"/>
        </w:pPr>
        <w:r>
          <w:fldChar w:fldCharType="begin"/>
        </w:r>
        <w:r>
          <w:instrText xml:space="preserve"> PAGE   \* MERGEFORMAT </w:instrText>
        </w:r>
        <w:r>
          <w:fldChar w:fldCharType="separate"/>
        </w:r>
        <w:r w:rsidR="00FF3577">
          <w:rPr>
            <w:noProof/>
          </w:rPr>
          <w:t>8</w:t>
        </w:r>
        <w:r>
          <w:rPr>
            <w:noProof/>
          </w:rPr>
          <w:fldChar w:fldCharType="end"/>
        </w:r>
      </w:p>
    </w:sdtContent>
  </w:sdt>
  <w:p w14:paraId="0F2F84EB" w14:textId="77777777" w:rsidR="005C1B32" w:rsidRDefault="005C1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BC40" w14:textId="77777777" w:rsidR="005C1B32" w:rsidRDefault="005C1B32">
    <w:pPr>
      <w:pStyle w:val="Footer"/>
      <w:jc w:val="right"/>
    </w:pPr>
  </w:p>
  <w:p w14:paraId="17578E09" w14:textId="77777777" w:rsidR="005C1B32" w:rsidRDefault="005C1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CAFB" w14:textId="77777777" w:rsidR="00EC2504" w:rsidRDefault="00EC2504" w:rsidP="00CD5D58">
      <w:r>
        <w:separator/>
      </w:r>
    </w:p>
  </w:footnote>
  <w:footnote w:type="continuationSeparator" w:id="0">
    <w:p w14:paraId="28B3C4C7" w14:textId="77777777" w:rsidR="00EC2504" w:rsidRDefault="00EC2504" w:rsidP="00CD5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C91"/>
    <w:multiLevelType w:val="hybridMultilevel"/>
    <w:tmpl w:val="F266D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5E77D2"/>
    <w:multiLevelType w:val="hybridMultilevel"/>
    <w:tmpl w:val="2486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25B2A"/>
    <w:multiLevelType w:val="hybridMultilevel"/>
    <w:tmpl w:val="40E4F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7232D4B"/>
    <w:multiLevelType w:val="hybridMultilevel"/>
    <w:tmpl w:val="0CBCE768"/>
    <w:lvl w:ilvl="0" w:tplc="5EA203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1B0BEC"/>
    <w:multiLevelType w:val="hybridMultilevel"/>
    <w:tmpl w:val="1AD2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E5197"/>
    <w:multiLevelType w:val="hybridMultilevel"/>
    <w:tmpl w:val="A7F62D2E"/>
    <w:lvl w:ilvl="0" w:tplc="805CBD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5286AD8"/>
    <w:multiLevelType w:val="hybridMultilevel"/>
    <w:tmpl w:val="B786261E"/>
    <w:lvl w:ilvl="0" w:tplc="12CC5C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4BF03AD"/>
    <w:multiLevelType w:val="hybridMultilevel"/>
    <w:tmpl w:val="9F7CE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21A6E79"/>
    <w:multiLevelType w:val="hybridMultilevel"/>
    <w:tmpl w:val="04BAB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4C260F9"/>
    <w:multiLevelType w:val="hybridMultilevel"/>
    <w:tmpl w:val="16F87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A211BC"/>
    <w:multiLevelType w:val="hybridMultilevel"/>
    <w:tmpl w:val="FB1E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62644"/>
    <w:multiLevelType w:val="hybridMultilevel"/>
    <w:tmpl w:val="96AE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A12E37"/>
    <w:multiLevelType w:val="hybridMultilevel"/>
    <w:tmpl w:val="B79C6266"/>
    <w:lvl w:ilvl="0" w:tplc="87961620">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451E37"/>
    <w:multiLevelType w:val="hybridMultilevel"/>
    <w:tmpl w:val="931E6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EA322A"/>
    <w:multiLevelType w:val="hybridMultilevel"/>
    <w:tmpl w:val="64E03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23343345">
    <w:abstractNumId w:val="1"/>
  </w:num>
  <w:num w:numId="2" w16cid:durableId="1883513870">
    <w:abstractNumId w:val="2"/>
  </w:num>
  <w:num w:numId="3" w16cid:durableId="356857778">
    <w:abstractNumId w:val="3"/>
  </w:num>
  <w:num w:numId="4" w16cid:durableId="1705598676">
    <w:abstractNumId w:val="7"/>
  </w:num>
  <w:num w:numId="5" w16cid:durableId="283122452">
    <w:abstractNumId w:val="14"/>
  </w:num>
  <w:num w:numId="6" w16cid:durableId="246236570">
    <w:abstractNumId w:val="4"/>
  </w:num>
  <w:num w:numId="7" w16cid:durableId="918102907">
    <w:abstractNumId w:val="13"/>
  </w:num>
  <w:num w:numId="8" w16cid:durableId="1198395649">
    <w:abstractNumId w:val="5"/>
  </w:num>
  <w:num w:numId="9" w16cid:durableId="746612769">
    <w:abstractNumId w:val="0"/>
  </w:num>
  <w:num w:numId="10" w16cid:durableId="1248348693">
    <w:abstractNumId w:val="9"/>
  </w:num>
  <w:num w:numId="11" w16cid:durableId="641812853">
    <w:abstractNumId w:val="8"/>
  </w:num>
  <w:num w:numId="12" w16cid:durableId="1837185557">
    <w:abstractNumId w:val="0"/>
  </w:num>
  <w:num w:numId="13" w16cid:durableId="601836530">
    <w:abstractNumId w:val="10"/>
  </w:num>
  <w:num w:numId="14" w16cid:durableId="65304162">
    <w:abstractNumId w:val="12"/>
  </w:num>
  <w:num w:numId="15" w16cid:durableId="1966691517">
    <w:abstractNumId w:val="6"/>
  </w:num>
  <w:num w:numId="16" w16cid:durableId="14804649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15"/>
    <w:rsid w:val="00003CC8"/>
    <w:rsid w:val="00015F56"/>
    <w:rsid w:val="00025340"/>
    <w:rsid w:val="00053422"/>
    <w:rsid w:val="00054C82"/>
    <w:rsid w:val="00061200"/>
    <w:rsid w:val="00062D67"/>
    <w:rsid w:val="000A348E"/>
    <w:rsid w:val="000A3C19"/>
    <w:rsid w:val="000A7B16"/>
    <w:rsid w:val="000B264A"/>
    <w:rsid w:val="000B3629"/>
    <w:rsid w:val="000C2609"/>
    <w:rsid w:val="000D6892"/>
    <w:rsid w:val="000F0C98"/>
    <w:rsid w:val="000F1830"/>
    <w:rsid w:val="000F625E"/>
    <w:rsid w:val="00100D64"/>
    <w:rsid w:val="0010255E"/>
    <w:rsid w:val="001135F8"/>
    <w:rsid w:val="001201D7"/>
    <w:rsid w:val="0014755F"/>
    <w:rsid w:val="00164124"/>
    <w:rsid w:val="001657C9"/>
    <w:rsid w:val="001879D7"/>
    <w:rsid w:val="001975F7"/>
    <w:rsid w:val="001A0B3A"/>
    <w:rsid w:val="001A743F"/>
    <w:rsid w:val="001B5640"/>
    <w:rsid w:val="001B7A57"/>
    <w:rsid w:val="001B7A9D"/>
    <w:rsid w:val="001D20B9"/>
    <w:rsid w:val="001D35B8"/>
    <w:rsid w:val="001E000C"/>
    <w:rsid w:val="001E0E5D"/>
    <w:rsid w:val="001E3A68"/>
    <w:rsid w:val="001E4C01"/>
    <w:rsid w:val="001E7C34"/>
    <w:rsid w:val="001F3A08"/>
    <w:rsid w:val="00207754"/>
    <w:rsid w:val="00240F55"/>
    <w:rsid w:val="00244289"/>
    <w:rsid w:val="00257BB2"/>
    <w:rsid w:val="002710FB"/>
    <w:rsid w:val="00277EDF"/>
    <w:rsid w:val="00284C1C"/>
    <w:rsid w:val="002D0A11"/>
    <w:rsid w:val="003004A1"/>
    <w:rsid w:val="0030363E"/>
    <w:rsid w:val="0030556E"/>
    <w:rsid w:val="00312415"/>
    <w:rsid w:val="00326CDB"/>
    <w:rsid w:val="003312A1"/>
    <w:rsid w:val="00337D86"/>
    <w:rsid w:val="003403B2"/>
    <w:rsid w:val="003436FF"/>
    <w:rsid w:val="00356162"/>
    <w:rsid w:val="00357158"/>
    <w:rsid w:val="00362561"/>
    <w:rsid w:val="0036486F"/>
    <w:rsid w:val="00376E71"/>
    <w:rsid w:val="003836F2"/>
    <w:rsid w:val="003919CF"/>
    <w:rsid w:val="00391FF8"/>
    <w:rsid w:val="00395C16"/>
    <w:rsid w:val="00397CED"/>
    <w:rsid w:val="003A04A1"/>
    <w:rsid w:val="003C7935"/>
    <w:rsid w:val="003E055F"/>
    <w:rsid w:val="003F4F96"/>
    <w:rsid w:val="003F54CC"/>
    <w:rsid w:val="0040355F"/>
    <w:rsid w:val="00420E6C"/>
    <w:rsid w:val="004518D1"/>
    <w:rsid w:val="00473FD5"/>
    <w:rsid w:val="0047600E"/>
    <w:rsid w:val="004857BD"/>
    <w:rsid w:val="00486C70"/>
    <w:rsid w:val="00487894"/>
    <w:rsid w:val="00490730"/>
    <w:rsid w:val="004A0125"/>
    <w:rsid w:val="004A70A1"/>
    <w:rsid w:val="004B6278"/>
    <w:rsid w:val="004C0BC9"/>
    <w:rsid w:val="004C3060"/>
    <w:rsid w:val="004C6A04"/>
    <w:rsid w:val="004D1AAA"/>
    <w:rsid w:val="004D3419"/>
    <w:rsid w:val="004D3F52"/>
    <w:rsid w:val="004E039A"/>
    <w:rsid w:val="004E6182"/>
    <w:rsid w:val="004F5050"/>
    <w:rsid w:val="00501E82"/>
    <w:rsid w:val="00516AA9"/>
    <w:rsid w:val="00522658"/>
    <w:rsid w:val="005506AF"/>
    <w:rsid w:val="00550C59"/>
    <w:rsid w:val="005549C8"/>
    <w:rsid w:val="005A194F"/>
    <w:rsid w:val="005A7062"/>
    <w:rsid w:val="005B4C4A"/>
    <w:rsid w:val="005C0567"/>
    <w:rsid w:val="005C099A"/>
    <w:rsid w:val="005C1B32"/>
    <w:rsid w:val="005C549F"/>
    <w:rsid w:val="005C7200"/>
    <w:rsid w:val="005D3FAC"/>
    <w:rsid w:val="005D60AF"/>
    <w:rsid w:val="005D67FB"/>
    <w:rsid w:val="005F46D7"/>
    <w:rsid w:val="005F5674"/>
    <w:rsid w:val="00611023"/>
    <w:rsid w:val="006332E7"/>
    <w:rsid w:val="006339FB"/>
    <w:rsid w:val="006469BB"/>
    <w:rsid w:val="00646F9B"/>
    <w:rsid w:val="00675C27"/>
    <w:rsid w:val="00687CC4"/>
    <w:rsid w:val="00693936"/>
    <w:rsid w:val="006A433D"/>
    <w:rsid w:val="006A693C"/>
    <w:rsid w:val="006B17CB"/>
    <w:rsid w:val="006B3C55"/>
    <w:rsid w:val="006C6DD6"/>
    <w:rsid w:val="006D56BD"/>
    <w:rsid w:val="006E085B"/>
    <w:rsid w:val="006F2384"/>
    <w:rsid w:val="007038DE"/>
    <w:rsid w:val="00705BA7"/>
    <w:rsid w:val="00706DFB"/>
    <w:rsid w:val="00707329"/>
    <w:rsid w:val="00707F64"/>
    <w:rsid w:val="00716DDF"/>
    <w:rsid w:val="00722C4E"/>
    <w:rsid w:val="0072656B"/>
    <w:rsid w:val="00733B8D"/>
    <w:rsid w:val="00744BCA"/>
    <w:rsid w:val="00750BDB"/>
    <w:rsid w:val="007510A6"/>
    <w:rsid w:val="00751727"/>
    <w:rsid w:val="00753969"/>
    <w:rsid w:val="00764234"/>
    <w:rsid w:val="007D003F"/>
    <w:rsid w:val="007D23A9"/>
    <w:rsid w:val="007F19D1"/>
    <w:rsid w:val="00801059"/>
    <w:rsid w:val="00810B8B"/>
    <w:rsid w:val="0082585B"/>
    <w:rsid w:val="00834810"/>
    <w:rsid w:val="00844E86"/>
    <w:rsid w:val="00853B2E"/>
    <w:rsid w:val="008571C1"/>
    <w:rsid w:val="008657A0"/>
    <w:rsid w:val="00870B7E"/>
    <w:rsid w:val="0087799E"/>
    <w:rsid w:val="00882CD0"/>
    <w:rsid w:val="008843FC"/>
    <w:rsid w:val="00887377"/>
    <w:rsid w:val="008A541F"/>
    <w:rsid w:val="008A75B4"/>
    <w:rsid w:val="008A78C0"/>
    <w:rsid w:val="008B28A6"/>
    <w:rsid w:val="008D1B26"/>
    <w:rsid w:val="008D3992"/>
    <w:rsid w:val="008E0B56"/>
    <w:rsid w:val="008E1196"/>
    <w:rsid w:val="008E3D9C"/>
    <w:rsid w:val="008E6ED9"/>
    <w:rsid w:val="008F496A"/>
    <w:rsid w:val="00903D41"/>
    <w:rsid w:val="0090701C"/>
    <w:rsid w:val="00915F01"/>
    <w:rsid w:val="00917CFC"/>
    <w:rsid w:val="00937870"/>
    <w:rsid w:val="00953616"/>
    <w:rsid w:val="00973DBD"/>
    <w:rsid w:val="009743C9"/>
    <w:rsid w:val="00987577"/>
    <w:rsid w:val="009A14F4"/>
    <w:rsid w:val="009A27E6"/>
    <w:rsid w:val="009A72E7"/>
    <w:rsid w:val="009B16FD"/>
    <w:rsid w:val="009F1B48"/>
    <w:rsid w:val="00A04E6E"/>
    <w:rsid w:val="00A17361"/>
    <w:rsid w:val="00A27E8A"/>
    <w:rsid w:val="00A72880"/>
    <w:rsid w:val="00A75B1A"/>
    <w:rsid w:val="00A76E12"/>
    <w:rsid w:val="00A903C8"/>
    <w:rsid w:val="00AB30C3"/>
    <w:rsid w:val="00AB704C"/>
    <w:rsid w:val="00AC3E74"/>
    <w:rsid w:val="00AE372C"/>
    <w:rsid w:val="00AE5CCE"/>
    <w:rsid w:val="00AF659F"/>
    <w:rsid w:val="00AF6A2A"/>
    <w:rsid w:val="00B004CF"/>
    <w:rsid w:val="00B020A2"/>
    <w:rsid w:val="00B26D9B"/>
    <w:rsid w:val="00B323CE"/>
    <w:rsid w:val="00B365E0"/>
    <w:rsid w:val="00B40296"/>
    <w:rsid w:val="00B51A62"/>
    <w:rsid w:val="00B6042C"/>
    <w:rsid w:val="00B60E4B"/>
    <w:rsid w:val="00B64B0D"/>
    <w:rsid w:val="00B6707C"/>
    <w:rsid w:val="00B748B1"/>
    <w:rsid w:val="00B864F8"/>
    <w:rsid w:val="00B97448"/>
    <w:rsid w:val="00BA10F0"/>
    <w:rsid w:val="00BA2D39"/>
    <w:rsid w:val="00BA4455"/>
    <w:rsid w:val="00BB617D"/>
    <w:rsid w:val="00BC1D48"/>
    <w:rsid w:val="00BC515C"/>
    <w:rsid w:val="00BD052C"/>
    <w:rsid w:val="00BE172A"/>
    <w:rsid w:val="00BE53A0"/>
    <w:rsid w:val="00BE7250"/>
    <w:rsid w:val="00C028CF"/>
    <w:rsid w:val="00C0406E"/>
    <w:rsid w:val="00C1157F"/>
    <w:rsid w:val="00C11C15"/>
    <w:rsid w:val="00C161B1"/>
    <w:rsid w:val="00C33B13"/>
    <w:rsid w:val="00C37498"/>
    <w:rsid w:val="00C402F4"/>
    <w:rsid w:val="00C65E8D"/>
    <w:rsid w:val="00C70421"/>
    <w:rsid w:val="00C743C7"/>
    <w:rsid w:val="00C83284"/>
    <w:rsid w:val="00C932EC"/>
    <w:rsid w:val="00C94D14"/>
    <w:rsid w:val="00C9752E"/>
    <w:rsid w:val="00C97D97"/>
    <w:rsid w:val="00CA49C1"/>
    <w:rsid w:val="00CC0B94"/>
    <w:rsid w:val="00CC7683"/>
    <w:rsid w:val="00CD1CE2"/>
    <w:rsid w:val="00CD5D58"/>
    <w:rsid w:val="00CF3C16"/>
    <w:rsid w:val="00D0179D"/>
    <w:rsid w:val="00D0215B"/>
    <w:rsid w:val="00D10356"/>
    <w:rsid w:val="00D21836"/>
    <w:rsid w:val="00D31CF1"/>
    <w:rsid w:val="00D323C2"/>
    <w:rsid w:val="00D4127B"/>
    <w:rsid w:val="00D56EE6"/>
    <w:rsid w:val="00D70CC8"/>
    <w:rsid w:val="00D74349"/>
    <w:rsid w:val="00DA5553"/>
    <w:rsid w:val="00DB12E4"/>
    <w:rsid w:val="00DB20C2"/>
    <w:rsid w:val="00DB42D1"/>
    <w:rsid w:val="00DB63C0"/>
    <w:rsid w:val="00DB709D"/>
    <w:rsid w:val="00DD2949"/>
    <w:rsid w:val="00DE4835"/>
    <w:rsid w:val="00DE5628"/>
    <w:rsid w:val="00DE77F0"/>
    <w:rsid w:val="00DF6D27"/>
    <w:rsid w:val="00E10AF8"/>
    <w:rsid w:val="00E11D5C"/>
    <w:rsid w:val="00E1588A"/>
    <w:rsid w:val="00E30484"/>
    <w:rsid w:val="00E3698C"/>
    <w:rsid w:val="00E5306A"/>
    <w:rsid w:val="00E73492"/>
    <w:rsid w:val="00E904DB"/>
    <w:rsid w:val="00E967E1"/>
    <w:rsid w:val="00EB73EF"/>
    <w:rsid w:val="00EC13D8"/>
    <w:rsid w:val="00EC2504"/>
    <w:rsid w:val="00EE7972"/>
    <w:rsid w:val="00EF288E"/>
    <w:rsid w:val="00EF31AC"/>
    <w:rsid w:val="00F01B38"/>
    <w:rsid w:val="00F2201C"/>
    <w:rsid w:val="00F448D9"/>
    <w:rsid w:val="00F70582"/>
    <w:rsid w:val="00F74427"/>
    <w:rsid w:val="00F80DD9"/>
    <w:rsid w:val="00F92C54"/>
    <w:rsid w:val="00FA5FE6"/>
    <w:rsid w:val="00FB5E23"/>
    <w:rsid w:val="00FC06ED"/>
    <w:rsid w:val="00FC0F97"/>
    <w:rsid w:val="00FC3DA3"/>
    <w:rsid w:val="00FC4D10"/>
    <w:rsid w:val="00FD22CD"/>
    <w:rsid w:val="00FD644A"/>
    <w:rsid w:val="00FE3D90"/>
    <w:rsid w:val="00FE3F71"/>
    <w:rsid w:val="00FF2FF2"/>
    <w:rsid w:val="00FF3577"/>
    <w:rsid w:val="00FF3BD5"/>
    <w:rsid w:val="00FF5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AEC13"/>
  <w15:chartTrackingRefBased/>
  <w15:docId w15:val="{F2F77AF4-21C6-4AAB-89AF-195862B0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B60E4B"/>
    <w:pPr>
      <w:spacing w:after="0" w:line="240" w:lineRule="auto"/>
    </w:pPr>
    <w:rPr>
      <w:rFonts w:ascii="Arial" w:hAnsi="Arial"/>
      <w:sz w:val="24"/>
    </w:rPr>
  </w:style>
  <w:style w:type="paragraph" w:styleId="Heading1">
    <w:name w:val="heading 1"/>
    <w:next w:val="NoSpacing"/>
    <w:link w:val="Heading1Char"/>
    <w:uiPriority w:val="9"/>
    <w:qFormat/>
    <w:rsid w:val="00DE4835"/>
    <w:pPr>
      <w:keepNext/>
      <w:spacing w:after="0" w:line="240" w:lineRule="auto"/>
      <w:outlineLvl w:val="0"/>
    </w:pPr>
    <w:rPr>
      <w:rFonts w:ascii="Arial" w:eastAsiaTheme="majorEastAsia" w:hAnsi="Arial" w:cstheme="majorBidi"/>
      <w:b/>
      <w:bCs/>
      <w:kern w:val="32"/>
      <w:sz w:val="24"/>
      <w:szCs w:val="32"/>
    </w:rPr>
  </w:style>
  <w:style w:type="paragraph" w:styleId="Heading2">
    <w:name w:val="heading 2"/>
    <w:basedOn w:val="Normal"/>
    <w:next w:val="Normal"/>
    <w:link w:val="Heading2Char"/>
    <w:autoRedefine/>
    <w:uiPriority w:val="9"/>
    <w:unhideWhenUsed/>
    <w:qFormat/>
    <w:rsid w:val="00B60E4B"/>
    <w:pPr>
      <w:keepNext/>
      <w:keepLines/>
      <w:spacing w:before="200"/>
      <w:outlineLvl w:val="1"/>
    </w:pPr>
    <w:rPr>
      <w:rFonts w:ascii="Rockwell" w:eastAsiaTheme="majorEastAsia" w:hAnsi="Rockwell" w:cstheme="majorBidi"/>
      <w:b/>
      <w:bCs/>
      <w:sz w:val="26"/>
      <w:szCs w:val="26"/>
    </w:rPr>
  </w:style>
  <w:style w:type="paragraph" w:styleId="Heading3">
    <w:name w:val="heading 3"/>
    <w:basedOn w:val="Normal"/>
    <w:next w:val="Normal"/>
    <w:link w:val="Heading3Char"/>
    <w:uiPriority w:val="9"/>
    <w:semiHidden/>
    <w:unhideWhenUsed/>
    <w:qFormat/>
    <w:rsid w:val="00B60E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2C54"/>
    <w:pPr>
      <w:spacing w:after="0" w:line="240" w:lineRule="auto"/>
    </w:pPr>
    <w:rPr>
      <w:rFonts w:ascii="Arial" w:hAnsi="Arial"/>
      <w:sz w:val="24"/>
    </w:rPr>
  </w:style>
  <w:style w:type="character" w:customStyle="1" w:styleId="Heading1Char">
    <w:name w:val="Heading 1 Char"/>
    <w:basedOn w:val="DefaultParagraphFont"/>
    <w:link w:val="Heading1"/>
    <w:uiPriority w:val="9"/>
    <w:rsid w:val="00DE4835"/>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B60E4B"/>
    <w:rPr>
      <w:rFonts w:ascii="Rockwell" w:eastAsiaTheme="majorEastAsia" w:hAnsi="Rockwell" w:cstheme="majorBidi"/>
      <w:b/>
      <w:bCs/>
      <w:sz w:val="26"/>
      <w:szCs w:val="26"/>
    </w:rPr>
  </w:style>
  <w:style w:type="paragraph" w:styleId="ListParagraph">
    <w:name w:val="List Paragraph"/>
    <w:basedOn w:val="Normal"/>
    <w:uiPriority w:val="34"/>
    <w:qFormat/>
    <w:rsid w:val="00B60E4B"/>
    <w:pPr>
      <w:ind w:left="720"/>
      <w:contextualSpacing/>
    </w:pPr>
  </w:style>
  <w:style w:type="character" w:customStyle="1" w:styleId="Heading3Char">
    <w:name w:val="Heading 3 Char"/>
    <w:basedOn w:val="DefaultParagraphFont"/>
    <w:link w:val="Heading3"/>
    <w:uiPriority w:val="9"/>
    <w:semiHidden/>
    <w:rsid w:val="00B60E4B"/>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4B6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85B"/>
    <w:rPr>
      <w:rFonts w:ascii="Segoe UI" w:hAnsi="Segoe UI" w:cs="Segoe UI"/>
      <w:sz w:val="18"/>
      <w:szCs w:val="18"/>
    </w:rPr>
  </w:style>
  <w:style w:type="paragraph" w:styleId="Title">
    <w:name w:val="Title"/>
    <w:basedOn w:val="Normal"/>
    <w:next w:val="Normal"/>
    <w:link w:val="TitleChar"/>
    <w:qFormat/>
    <w:rsid w:val="000B264A"/>
    <w:pPr>
      <w:contextualSpacing/>
    </w:pPr>
    <w:rPr>
      <w:rFonts w:eastAsiaTheme="majorEastAsia" w:cstheme="majorBidi"/>
      <w:b/>
      <w:spacing w:val="-10"/>
      <w:kern w:val="28"/>
      <w:sz w:val="60"/>
      <w:szCs w:val="56"/>
    </w:rPr>
  </w:style>
  <w:style w:type="character" w:customStyle="1" w:styleId="TitleChar">
    <w:name w:val="Title Char"/>
    <w:basedOn w:val="DefaultParagraphFont"/>
    <w:link w:val="Title"/>
    <w:rsid w:val="000B264A"/>
    <w:rPr>
      <w:rFonts w:ascii="Arial" w:eastAsiaTheme="majorEastAsia" w:hAnsi="Arial" w:cstheme="majorBidi"/>
      <w:b/>
      <w:spacing w:val="-10"/>
      <w:kern w:val="28"/>
      <w:sz w:val="60"/>
      <w:szCs w:val="56"/>
    </w:rPr>
  </w:style>
  <w:style w:type="character" w:styleId="CommentReference">
    <w:name w:val="annotation reference"/>
    <w:basedOn w:val="DefaultParagraphFont"/>
    <w:uiPriority w:val="99"/>
    <w:semiHidden/>
    <w:unhideWhenUsed/>
    <w:rsid w:val="000B264A"/>
    <w:rPr>
      <w:sz w:val="16"/>
      <w:szCs w:val="16"/>
    </w:rPr>
  </w:style>
  <w:style w:type="paragraph" w:styleId="CommentText">
    <w:name w:val="annotation text"/>
    <w:basedOn w:val="Normal"/>
    <w:link w:val="CommentTextChar"/>
    <w:uiPriority w:val="99"/>
    <w:unhideWhenUsed/>
    <w:rsid w:val="000B264A"/>
    <w:rPr>
      <w:sz w:val="20"/>
      <w:szCs w:val="20"/>
    </w:rPr>
  </w:style>
  <w:style w:type="character" w:customStyle="1" w:styleId="CommentTextChar">
    <w:name w:val="Comment Text Char"/>
    <w:basedOn w:val="DefaultParagraphFont"/>
    <w:link w:val="CommentText"/>
    <w:uiPriority w:val="99"/>
    <w:rsid w:val="000B264A"/>
    <w:rPr>
      <w:rFonts w:ascii="Arial" w:hAnsi="Arial"/>
      <w:sz w:val="20"/>
      <w:szCs w:val="20"/>
    </w:rPr>
  </w:style>
  <w:style w:type="paragraph" w:styleId="Caption">
    <w:name w:val="caption"/>
    <w:basedOn w:val="Normal"/>
    <w:next w:val="Normal"/>
    <w:uiPriority w:val="35"/>
    <w:unhideWhenUsed/>
    <w:qFormat/>
    <w:rsid w:val="003919CF"/>
    <w:pPr>
      <w:spacing w:after="200"/>
    </w:pPr>
    <w:rPr>
      <w:i/>
      <w:iCs/>
      <w:color w:val="1F497D" w:themeColor="text2"/>
      <w:sz w:val="18"/>
      <w:szCs w:val="18"/>
    </w:rPr>
  </w:style>
  <w:style w:type="paragraph" w:styleId="Header">
    <w:name w:val="header"/>
    <w:basedOn w:val="Normal"/>
    <w:link w:val="HeaderChar"/>
    <w:uiPriority w:val="99"/>
    <w:unhideWhenUsed/>
    <w:rsid w:val="00CD5D58"/>
    <w:pPr>
      <w:tabs>
        <w:tab w:val="center" w:pos="4513"/>
        <w:tab w:val="right" w:pos="9026"/>
      </w:tabs>
    </w:pPr>
  </w:style>
  <w:style w:type="character" w:customStyle="1" w:styleId="HeaderChar">
    <w:name w:val="Header Char"/>
    <w:basedOn w:val="DefaultParagraphFont"/>
    <w:link w:val="Header"/>
    <w:uiPriority w:val="99"/>
    <w:rsid w:val="00CD5D58"/>
    <w:rPr>
      <w:rFonts w:ascii="Arial" w:hAnsi="Arial"/>
      <w:sz w:val="24"/>
    </w:rPr>
  </w:style>
  <w:style w:type="paragraph" w:styleId="Footer">
    <w:name w:val="footer"/>
    <w:basedOn w:val="Normal"/>
    <w:link w:val="FooterChar"/>
    <w:uiPriority w:val="99"/>
    <w:unhideWhenUsed/>
    <w:rsid w:val="00CD5D58"/>
    <w:pPr>
      <w:tabs>
        <w:tab w:val="center" w:pos="4513"/>
        <w:tab w:val="right" w:pos="9026"/>
      </w:tabs>
    </w:pPr>
  </w:style>
  <w:style w:type="character" w:customStyle="1" w:styleId="FooterChar">
    <w:name w:val="Footer Char"/>
    <w:basedOn w:val="DefaultParagraphFont"/>
    <w:link w:val="Footer"/>
    <w:uiPriority w:val="99"/>
    <w:rsid w:val="00CD5D58"/>
    <w:rPr>
      <w:rFonts w:ascii="Arial" w:hAnsi="Arial"/>
      <w:sz w:val="24"/>
    </w:rPr>
  </w:style>
  <w:style w:type="paragraph" w:styleId="TOC1">
    <w:name w:val="toc 1"/>
    <w:basedOn w:val="Normal"/>
    <w:next w:val="Normal"/>
    <w:autoRedefine/>
    <w:uiPriority w:val="39"/>
    <w:unhideWhenUsed/>
    <w:rsid w:val="00487894"/>
    <w:pPr>
      <w:spacing w:after="100"/>
    </w:pPr>
  </w:style>
  <w:style w:type="character" w:styleId="Hyperlink">
    <w:name w:val="Hyperlink"/>
    <w:basedOn w:val="DefaultParagraphFont"/>
    <w:uiPriority w:val="99"/>
    <w:unhideWhenUsed/>
    <w:rsid w:val="00487894"/>
    <w:rPr>
      <w:color w:val="0000FF" w:themeColor="hyperlink"/>
      <w:u w:val="single"/>
    </w:rPr>
  </w:style>
  <w:style w:type="character" w:customStyle="1" w:styleId="NoSpacingChar">
    <w:name w:val="No Spacing Char"/>
    <w:link w:val="NoSpacing"/>
    <w:uiPriority w:val="1"/>
    <w:rsid w:val="00707F64"/>
    <w:rPr>
      <w:rFonts w:ascii="Arial" w:hAnsi="Arial"/>
      <w:sz w:val="24"/>
    </w:rPr>
  </w:style>
  <w:style w:type="paragraph" w:styleId="CommentSubject">
    <w:name w:val="annotation subject"/>
    <w:basedOn w:val="CommentText"/>
    <w:next w:val="CommentText"/>
    <w:link w:val="CommentSubjectChar"/>
    <w:uiPriority w:val="99"/>
    <w:semiHidden/>
    <w:unhideWhenUsed/>
    <w:rsid w:val="008E1196"/>
    <w:rPr>
      <w:b/>
      <w:bCs/>
    </w:rPr>
  </w:style>
  <w:style w:type="character" w:customStyle="1" w:styleId="CommentSubjectChar">
    <w:name w:val="Comment Subject Char"/>
    <w:basedOn w:val="CommentTextChar"/>
    <w:link w:val="CommentSubject"/>
    <w:uiPriority w:val="99"/>
    <w:semiHidden/>
    <w:rsid w:val="008E1196"/>
    <w:rPr>
      <w:rFonts w:ascii="Arial" w:hAnsi="Arial"/>
      <w:b/>
      <w:bCs/>
      <w:sz w:val="20"/>
      <w:szCs w:val="20"/>
    </w:rPr>
  </w:style>
  <w:style w:type="paragraph" w:styleId="Revision">
    <w:name w:val="Revision"/>
    <w:hidden/>
    <w:uiPriority w:val="99"/>
    <w:semiHidden/>
    <w:rsid w:val="00240F55"/>
    <w:pPr>
      <w:spacing w:after="0" w:line="240" w:lineRule="auto"/>
    </w:pPr>
    <w:rPr>
      <w:rFonts w:ascii="Arial" w:hAnsi="Arial"/>
      <w:sz w:val="24"/>
    </w:rPr>
  </w:style>
  <w:style w:type="character" w:styleId="SubtleEmphasis">
    <w:name w:val="Subtle Emphasis"/>
    <w:basedOn w:val="DefaultParagraphFont"/>
    <w:uiPriority w:val="19"/>
    <w:qFormat/>
    <w:rsid w:val="00B4029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2219">
      <w:bodyDiv w:val="1"/>
      <w:marLeft w:val="0"/>
      <w:marRight w:val="0"/>
      <w:marTop w:val="0"/>
      <w:marBottom w:val="0"/>
      <w:divBdr>
        <w:top w:val="none" w:sz="0" w:space="0" w:color="auto"/>
        <w:left w:val="none" w:sz="0" w:space="0" w:color="auto"/>
        <w:bottom w:val="none" w:sz="0" w:space="0" w:color="auto"/>
        <w:right w:val="none" w:sz="0" w:space="0" w:color="auto"/>
      </w:divBdr>
    </w:div>
    <w:div w:id="292684940">
      <w:bodyDiv w:val="1"/>
      <w:marLeft w:val="0"/>
      <w:marRight w:val="0"/>
      <w:marTop w:val="0"/>
      <w:marBottom w:val="0"/>
      <w:divBdr>
        <w:top w:val="none" w:sz="0" w:space="0" w:color="auto"/>
        <w:left w:val="none" w:sz="0" w:space="0" w:color="auto"/>
        <w:bottom w:val="none" w:sz="0" w:space="0" w:color="auto"/>
        <w:right w:val="none" w:sz="0" w:space="0" w:color="auto"/>
      </w:divBdr>
    </w:div>
    <w:div w:id="329915271">
      <w:bodyDiv w:val="1"/>
      <w:marLeft w:val="0"/>
      <w:marRight w:val="0"/>
      <w:marTop w:val="0"/>
      <w:marBottom w:val="0"/>
      <w:divBdr>
        <w:top w:val="none" w:sz="0" w:space="0" w:color="auto"/>
        <w:left w:val="none" w:sz="0" w:space="0" w:color="auto"/>
        <w:bottom w:val="none" w:sz="0" w:space="0" w:color="auto"/>
        <w:right w:val="none" w:sz="0" w:space="0" w:color="auto"/>
      </w:divBdr>
    </w:div>
    <w:div w:id="445926947">
      <w:bodyDiv w:val="1"/>
      <w:marLeft w:val="0"/>
      <w:marRight w:val="0"/>
      <w:marTop w:val="0"/>
      <w:marBottom w:val="0"/>
      <w:divBdr>
        <w:top w:val="none" w:sz="0" w:space="0" w:color="auto"/>
        <w:left w:val="none" w:sz="0" w:space="0" w:color="auto"/>
        <w:bottom w:val="none" w:sz="0" w:space="0" w:color="auto"/>
        <w:right w:val="none" w:sz="0" w:space="0" w:color="auto"/>
      </w:divBdr>
    </w:div>
    <w:div w:id="687682739">
      <w:bodyDiv w:val="1"/>
      <w:marLeft w:val="0"/>
      <w:marRight w:val="0"/>
      <w:marTop w:val="0"/>
      <w:marBottom w:val="0"/>
      <w:divBdr>
        <w:top w:val="none" w:sz="0" w:space="0" w:color="auto"/>
        <w:left w:val="none" w:sz="0" w:space="0" w:color="auto"/>
        <w:bottom w:val="none" w:sz="0" w:space="0" w:color="auto"/>
        <w:right w:val="none" w:sz="0" w:space="0" w:color="auto"/>
      </w:divBdr>
    </w:div>
    <w:div w:id="863710782">
      <w:bodyDiv w:val="1"/>
      <w:marLeft w:val="0"/>
      <w:marRight w:val="0"/>
      <w:marTop w:val="0"/>
      <w:marBottom w:val="0"/>
      <w:divBdr>
        <w:top w:val="none" w:sz="0" w:space="0" w:color="auto"/>
        <w:left w:val="none" w:sz="0" w:space="0" w:color="auto"/>
        <w:bottom w:val="none" w:sz="0" w:space="0" w:color="auto"/>
        <w:right w:val="none" w:sz="0" w:space="0" w:color="auto"/>
      </w:divBdr>
    </w:div>
    <w:div w:id="1310598632">
      <w:bodyDiv w:val="1"/>
      <w:marLeft w:val="0"/>
      <w:marRight w:val="0"/>
      <w:marTop w:val="0"/>
      <w:marBottom w:val="0"/>
      <w:divBdr>
        <w:top w:val="none" w:sz="0" w:space="0" w:color="auto"/>
        <w:left w:val="none" w:sz="0" w:space="0" w:color="auto"/>
        <w:bottom w:val="none" w:sz="0" w:space="0" w:color="auto"/>
        <w:right w:val="none" w:sz="0" w:space="0" w:color="auto"/>
      </w:divBdr>
    </w:div>
    <w:div w:id="1370571947">
      <w:bodyDiv w:val="1"/>
      <w:marLeft w:val="0"/>
      <w:marRight w:val="0"/>
      <w:marTop w:val="0"/>
      <w:marBottom w:val="0"/>
      <w:divBdr>
        <w:top w:val="none" w:sz="0" w:space="0" w:color="auto"/>
        <w:left w:val="none" w:sz="0" w:space="0" w:color="auto"/>
        <w:bottom w:val="none" w:sz="0" w:space="0" w:color="auto"/>
        <w:right w:val="none" w:sz="0" w:space="0" w:color="auto"/>
      </w:divBdr>
    </w:div>
    <w:div w:id="1662005340">
      <w:bodyDiv w:val="1"/>
      <w:marLeft w:val="0"/>
      <w:marRight w:val="0"/>
      <w:marTop w:val="0"/>
      <w:marBottom w:val="0"/>
      <w:divBdr>
        <w:top w:val="none" w:sz="0" w:space="0" w:color="auto"/>
        <w:left w:val="none" w:sz="0" w:space="0" w:color="auto"/>
        <w:bottom w:val="none" w:sz="0" w:space="0" w:color="auto"/>
        <w:right w:val="none" w:sz="0" w:space="0" w:color="auto"/>
      </w:divBdr>
    </w:div>
    <w:div w:id="1689137493">
      <w:bodyDiv w:val="1"/>
      <w:marLeft w:val="0"/>
      <w:marRight w:val="0"/>
      <w:marTop w:val="0"/>
      <w:marBottom w:val="0"/>
      <w:divBdr>
        <w:top w:val="none" w:sz="0" w:space="0" w:color="auto"/>
        <w:left w:val="none" w:sz="0" w:space="0" w:color="auto"/>
        <w:bottom w:val="none" w:sz="0" w:space="0" w:color="auto"/>
        <w:right w:val="none" w:sz="0" w:space="0" w:color="auto"/>
      </w:divBdr>
    </w:div>
    <w:div w:id="1740517613">
      <w:bodyDiv w:val="1"/>
      <w:marLeft w:val="0"/>
      <w:marRight w:val="0"/>
      <w:marTop w:val="0"/>
      <w:marBottom w:val="0"/>
      <w:divBdr>
        <w:top w:val="none" w:sz="0" w:space="0" w:color="auto"/>
        <w:left w:val="none" w:sz="0" w:space="0" w:color="auto"/>
        <w:bottom w:val="none" w:sz="0" w:space="0" w:color="auto"/>
        <w:right w:val="none" w:sz="0" w:space="0" w:color="auto"/>
      </w:divBdr>
    </w:div>
    <w:div w:id="1998922143">
      <w:bodyDiv w:val="1"/>
      <w:marLeft w:val="0"/>
      <w:marRight w:val="0"/>
      <w:marTop w:val="0"/>
      <w:marBottom w:val="0"/>
      <w:divBdr>
        <w:top w:val="none" w:sz="0" w:space="0" w:color="auto"/>
        <w:left w:val="none" w:sz="0" w:space="0" w:color="auto"/>
        <w:bottom w:val="none" w:sz="0" w:space="0" w:color="auto"/>
        <w:right w:val="none" w:sz="0" w:space="0" w:color="auto"/>
      </w:divBdr>
    </w:div>
    <w:div w:id="2023122932">
      <w:bodyDiv w:val="1"/>
      <w:marLeft w:val="0"/>
      <w:marRight w:val="0"/>
      <w:marTop w:val="0"/>
      <w:marBottom w:val="0"/>
      <w:divBdr>
        <w:top w:val="none" w:sz="0" w:space="0" w:color="auto"/>
        <w:left w:val="none" w:sz="0" w:space="0" w:color="auto"/>
        <w:bottom w:val="none" w:sz="0" w:space="0" w:color="auto"/>
        <w:right w:val="none" w:sz="0" w:space="0" w:color="auto"/>
      </w:divBdr>
    </w:div>
    <w:div w:id="2104839486">
      <w:bodyDiv w:val="1"/>
      <w:marLeft w:val="0"/>
      <w:marRight w:val="0"/>
      <w:marTop w:val="0"/>
      <w:marBottom w:val="0"/>
      <w:divBdr>
        <w:top w:val="none" w:sz="0" w:space="0" w:color="auto"/>
        <w:left w:val="none" w:sz="0" w:space="0" w:color="auto"/>
        <w:bottom w:val="none" w:sz="0" w:space="0" w:color="auto"/>
        <w:right w:val="none" w:sz="0" w:space="0" w:color="auto"/>
      </w:divBdr>
    </w:div>
    <w:div w:id="21425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9F46B-F041-4210-A098-19CF87E7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8</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McDonald</dc:creator>
  <cp:keywords/>
  <dc:description/>
  <cp:lastModifiedBy>Joanna Gray</cp:lastModifiedBy>
  <cp:revision>15</cp:revision>
  <cp:lastPrinted>2020-12-14T09:45:00Z</cp:lastPrinted>
  <dcterms:created xsi:type="dcterms:W3CDTF">2022-05-23T07:32:00Z</dcterms:created>
  <dcterms:modified xsi:type="dcterms:W3CDTF">2023-11-01T12:58:00Z</dcterms:modified>
</cp:coreProperties>
</file>